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BB2F3" w14:textId="77777777" w:rsidR="00C71A48" w:rsidRDefault="00C71A48" w:rsidP="00C71A48">
      <w:pPr>
        <w:spacing w:after="0" w:line="36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701CC9D9" w14:textId="77777777" w:rsidR="00C71A48" w:rsidRPr="00ED5A8F" w:rsidRDefault="00C71A48" w:rsidP="00753287">
      <w:pPr>
        <w:spacing w:after="0" w:line="240" w:lineRule="auto"/>
        <w:jc w:val="center"/>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pP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COLLOQUE INTERNATIONAL « LES FORMES DE L’ENQUÊTE »</w:t>
      </w:r>
    </w:p>
    <w:p w14:paraId="1B78852B" w14:textId="77777777" w:rsidR="00C71A48" w:rsidRPr="00ED5A8F" w:rsidRDefault="00C71A48" w:rsidP="00753287">
      <w:pPr>
        <w:spacing w:after="0" w:line="240" w:lineRule="auto"/>
        <w:jc w:val="center"/>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pP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LES 6, 7 &amp; 8 AVRIL 2017, À SAINT-ÉTIENNE</w:t>
      </w:r>
    </w:p>
    <w:p w14:paraId="7999757F" w14:textId="77777777" w:rsidR="00C71A48" w:rsidRDefault="00C71A48" w:rsidP="00C71A48">
      <w:pPr>
        <w:spacing w:after="0" w:line="360" w:lineRule="auto"/>
        <w:jc w:val="cente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0F3D6FCB" w14:textId="77777777" w:rsidR="00C71A48" w:rsidRPr="00ED5A8F" w:rsidRDefault="00C71A48" w:rsidP="00C71A48">
      <w:pPr>
        <w:spacing w:after="0" w:line="360" w:lineRule="auto"/>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pP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Comité scientifique :</w:t>
      </w:r>
    </w:p>
    <w:p w14:paraId="42F66C87" w14:textId="77777777" w:rsidR="00C71A48" w:rsidRDefault="00C71A48" w:rsidP="00753287">
      <w:pPr>
        <w:spacing w:after="0" w:line="240" w:lineRule="auto"/>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Georges Gay, (PR Géographie, Saint-Étienne)</w:t>
      </w:r>
    </w:p>
    <w:p w14:paraId="02AE5036" w14:textId="77777777" w:rsidR="00C71A48" w:rsidRDefault="00C71A48" w:rsidP="00753287">
      <w:pPr>
        <w:spacing w:after="0" w:line="240" w:lineRule="auto"/>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Christophe Genin (PR, Esthétique, Paris 1)</w:t>
      </w:r>
    </w:p>
    <w:p w14:paraId="7447E0EF" w14:textId="77777777" w:rsidR="00473C04" w:rsidRDefault="00473C04" w:rsidP="00753287">
      <w:pPr>
        <w:spacing w:after="0" w:line="240" w:lineRule="auto"/>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Bérénice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Hamidi</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-Kim (MC, Arts du spectacle, Lyon 2)</w:t>
      </w:r>
    </w:p>
    <w:p w14:paraId="048D2F4F" w14:textId="77777777" w:rsidR="00C71A48" w:rsidRDefault="00C71A48" w:rsidP="00753287">
      <w:pPr>
        <w:spacing w:after="0" w:line="240" w:lineRule="auto"/>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Philippe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Kaennel</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Histoire de l’art, Lausanne)</w:t>
      </w:r>
    </w:p>
    <w:p w14:paraId="375CA545"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Évelyne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Lloze</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Littérature, Saint-Étienne)</w:t>
      </w:r>
    </w:p>
    <w:p w14:paraId="783D0B0D" w14:textId="77777777" w:rsidR="008642CC" w:rsidRDefault="008642CC"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Danièle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Méaux</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Esthétique et sciences de l’art, Saint-Etienne)</w:t>
      </w:r>
    </w:p>
    <w:p w14:paraId="58DDDA65"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Wolfram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Nitsch</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Littérature, Cologne)</w:t>
      </w:r>
    </w:p>
    <w:p w14:paraId="52104B74"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Michel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Rautenberg</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Sociologie, Saint-Étienne)</w:t>
      </w:r>
    </w:p>
    <w:p w14:paraId="562B7728"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Anolga</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Rodionoff</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Théorie des arts contemporains, Saint-Étienne)</w:t>
      </w:r>
    </w:p>
    <w:p w14:paraId="5C872773"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Alexander </w:t>
      </w:r>
      <w:proofErr w:type="spellStart"/>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Streitberger</w:t>
      </w:r>
      <w:proofErr w:type="spellEnd"/>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(PR, Histoire de l’art, Louvain)</w:t>
      </w:r>
    </w:p>
    <w:p w14:paraId="48015286" w14:textId="77777777" w:rsidR="00C71A48" w:rsidRDefault="00C71A48" w:rsidP="00C71A48">
      <w:pPr>
        <w:spacing w:after="0" w:line="36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75C7C029" w14:textId="77777777" w:rsidR="00C71A48" w:rsidRPr="00ED5A8F" w:rsidRDefault="00C71A48" w:rsidP="00C71A48">
      <w:pPr>
        <w:spacing w:after="0" w:line="360" w:lineRule="auto"/>
        <w:jc w:val="both"/>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pP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 xml:space="preserve">Calendrier : </w:t>
      </w:r>
    </w:p>
    <w:p w14:paraId="0B23CACD"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bookmarkStart w:id="0" w:name="_GoBack"/>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Propositions à soumettre pour le 15 novembre</w:t>
      </w:r>
      <w:r w:rsidR="003E7505">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2016</w:t>
      </w: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au plus tard à l’adresse suivante : </w:t>
      </w:r>
      <w:hyperlink r:id="rId5" w:history="1">
        <w:r w:rsidRPr="00685F25">
          <w:rPr>
            <w:rStyle w:val="Lienhypertexte"/>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martine.patsalis@univ-st-etienne.fr</w:t>
        </w:r>
      </w:hyperlink>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(voir fiche de proposition de communication jointe)</w:t>
      </w:r>
    </w:p>
    <w:p w14:paraId="7727CF25"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Programme établi avant le 31 décembre</w:t>
      </w:r>
      <w:r w:rsidR="003E7505">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2016</w:t>
      </w:r>
    </w:p>
    <w:p w14:paraId="4D42B2E1"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Colloque les 6, 7 et 8 avril 2017</w:t>
      </w:r>
    </w:p>
    <w:p w14:paraId="12D54612" w14:textId="77777777" w:rsidR="00C71A48" w:rsidRDefault="00C71A48" w:rsidP="00753287">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Publication des Actes chez Filigranes éditions avant la fin 2017</w:t>
      </w:r>
    </w:p>
    <w:bookmarkEnd w:id="0"/>
    <w:p w14:paraId="1AEDDC56" w14:textId="77777777" w:rsidR="00C71A48" w:rsidRDefault="00C71A48" w:rsidP="00C71A48">
      <w:pPr>
        <w:spacing w:after="0" w:line="36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322A80C5" w14:textId="77777777" w:rsidR="00C71A48" w:rsidRDefault="00C71A48"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Le mot « Enquête » vient du mot latin « </w:t>
      </w:r>
      <w:proofErr w:type="spell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inquaesita</w:t>
      </w:r>
      <w:proofErr w:type="spell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 qui signifie « non encore examiné », soit ce qui mérite encore une investigation. Indices, traces, preuves, énigme, recherche, observation constituent le champ lexical d’une pratique qui peut prendre des formes extrêmement variées. Elle s’exerce parfois dans les archives et les documents, d’autres fois sur le terrain (à même la matérialité du site), d’autres fois encore auprès des individus, par le biais d’entretiens. Si l’enquête prend appui sur une documentation livresque, et une culture appropriée, elle constitue un exercice empirique qui doit s’adapter à la réalité étudiée. Pour certains, elle requiert l‘immersion. Caractérisant la recherche, elle suit des méthodes bien différentes en géographie, en sociologie ou en ethnologie, en histoire ou en archéologie. Ces manières de procéder peuvent être mises en regard d’un autre type d’enquête, policière celle-là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qui, au moyen d</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indices pr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lev</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s, essaie de remonter vers un coupable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ou peut-</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ê</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tre encore en rapport avec la cure psychanalytique qui s’intéresse aux symptômes d’une expérience refoulée (comme y a invité Carlo </w:t>
      </w:r>
      <w:proofErr w:type="spell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Ginzburg</w:t>
      </w:r>
      <w:proofErr w:type="spell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1989). On pourrait encore penser à la pratique du chasseur qui suit un gibier à partir de traces. Il existe également un journalisme dit « d’enquête » ou « d’investigation »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plus particuli</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è</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rement 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pandu aux </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tats-Unis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qui sait faire </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merger des 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alit</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s qu</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ignorent les reportages plus superficiels et qui implique fortement le journaliste concern</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L</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enqu</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ê</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te, c</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est une </w:t>
      </w:r>
      <w:r w:rsidRPr="00C71A48">
        <w:rPr>
          <w:rFonts w:ascii="Garamond" w:eastAsia="Times New Roman" w:hAnsi="Garamond"/>
          <w:bCs/>
          <w:i/>
          <w:sz w:val="24"/>
          <w:szCs w:val="24"/>
          <w:lang w:eastAsia="fr-FR"/>
          <w14:shadow w14:blurRad="50800" w14:dist="38100" w14:dir="2700000" w14:sx="100000" w14:sy="100000" w14:kx="0" w14:ky="0" w14:algn="tl">
            <w14:srgbClr w14:val="000000">
              <w14:alpha w14:val="60000"/>
            </w14:srgbClr>
          </w14:shadow>
        </w:rPr>
        <w:t>praxis</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établie à partir de présupposés, mais s’interrogeant elle-même au contact du réel ; elle constitue donc une forme de cheminement. C’est également la restitution de cette pratique au </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lastRenderedPageBreak/>
        <w:t xml:space="preserve">travers d’une « mise en intrigue »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dont les normes ont </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t</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diff</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remment </w:t>
      </w:r>
      <w:proofErr w:type="gram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codifiées</w:t>
      </w:r>
      <w:proofErr w:type="gram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selon les époques et selon les domaines disciplinaires. Formes de l’expérience et formes du récit de l’expérience sont intrinsèquement liées.</w:t>
      </w:r>
    </w:p>
    <w:p w14:paraId="239AE1E1"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07D84630" w14:textId="77777777" w:rsidR="00C71A48" w:rsidRDefault="00C71A48"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t xml:space="preserve">Derrière toutes ces disparités, sans doute est-il possible de faire émerger un schème partagé, une démarche commune qui à partir des indices, des traces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v</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lant une forme de manque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s</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attelle </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à</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interpr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ter et </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à</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comprendre, pr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tend r</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v</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ler des fonctionnements, des origines, derri</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è</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re le d</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sordre apparent du réel. Alors que le XIX</w:t>
      </w:r>
      <w:r w:rsidRPr="00C71A48">
        <w:rPr>
          <w:rFonts w:ascii="Garamond" w:eastAsia="Times New Roman" w:hAnsi="Garamond"/>
          <w:bCs/>
          <w:sz w:val="24"/>
          <w:szCs w:val="24"/>
          <w:vertAlign w:val="superscript"/>
          <w:lang w:eastAsia="fr-FR"/>
          <w14:shadow w14:blurRad="50800" w14:dist="38100" w14:dir="2700000" w14:sx="100000" w14:sy="100000" w14:kx="0" w14:ky="0" w14:algn="tl">
            <w14:srgbClr w14:val="000000">
              <w14:alpha w14:val="60000"/>
            </w14:srgbClr>
          </w14:shadow>
        </w:rPr>
        <w:t xml:space="preserve">e </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siècle a postulé la reconstitution possible d’un ensemble causal d’événements, au XX</w:t>
      </w:r>
      <w:r w:rsidRPr="00C71A48">
        <w:rPr>
          <w:rFonts w:ascii="Garamond" w:eastAsia="Times New Roman" w:hAnsi="Garamond"/>
          <w:bCs/>
          <w:sz w:val="24"/>
          <w:szCs w:val="24"/>
          <w:vertAlign w:val="superscript"/>
          <w:lang w:eastAsia="fr-FR"/>
          <w14:shadow w14:blurRad="50800" w14:dist="38100" w14:dir="2700000" w14:sx="100000" w14:sy="100000" w14:kx="0" w14:ky="0" w14:algn="tl">
            <w14:srgbClr w14:val="000000">
              <w14:alpha w14:val="60000"/>
            </w14:srgbClr>
          </w14:shadow>
        </w:rPr>
        <w:t>e</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siècle les chercheurs ont pris la mesure du </w:t>
      </w:r>
      <w:proofErr w:type="gram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caractère</w:t>
      </w:r>
      <w:proofErr w:type="gram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déterminant des hypothèses de départ comme de la situation de l’observateur ; ils ont également été amenés à assumer l’artificialité relative de toute « mise en intrigue » du monde. Si l’enquête s’accompagne toujours de conjectures (qu’elle valide ou non par la suite), elle sait aussi faire place à la </w:t>
      </w:r>
      <w:proofErr w:type="spell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sérendipité</w:t>
      </w:r>
      <w:proofErr w:type="spell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Le philosophe John Dewey a proposé (en 1938) une « théorie de l’enquête », réfutant </w:t>
      </w:r>
      <w:proofErr w:type="gram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les </w:t>
      </w:r>
      <w:r w:rsidRPr="00C71A48">
        <w:rPr>
          <w:rFonts w:ascii="Garamond" w:eastAsia="Times New Roman" w:hAnsi="Garamond"/>
          <w:bCs/>
          <w:i/>
          <w:sz w:val="24"/>
          <w:szCs w:val="24"/>
          <w:lang w:eastAsia="fr-FR"/>
          <w14:shadow w14:blurRad="50800" w14:dist="38100" w14:dir="2700000" w14:sx="100000" w14:sy="100000" w14:kx="0" w14:ky="0" w14:algn="tl">
            <w14:srgbClr w14:val="000000">
              <w14:alpha w14:val="60000"/>
            </w14:srgbClr>
          </w14:shadow>
        </w:rPr>
        <w:t>a</w:t>
      </w:r>
      <w:proofErr w:type="gramEnd"/>
      <w:r w:rsidRPr="00C71A48">
        <w:rPr>
          <w:rFonts w:ascii="Garamond" w:eastAsia="Times New Roman" w:hAnsi="Garamond"/>
          <w:bCs/>
          <w:i/>
          <w:sz w:val="24"/>
          <w:szCs w:val="24"/>
          <w:lang w:eastAsia="fr-FR"/>
          <w14:shadow w14:blurRad="50800" w14:dist="38100" w14:dir="2700000" w14:sx="100000" w14:sy="100000" w14:kx="0" w14:ky="0" w14:algn="tl">
            <w14:srgbClr w14:val="000000">
              <w14:alpha w14:val="60000"/>
            </w14:srgbClr>
          </w14:shadow>
        </w:rPr>
        <w:t xml:space="preserve"> priori </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et bâtie sur une approche empirique. Il envisage celle-ci comme un phénomène dynamique. Derrière les formes variées que peut prendre l’enquête, les objets différents auxquels elle peut s’appliquer, émerge un schème commun qui correspond à une activité fondamentale de l’esprit humain. Elle constitue un processus qui par</w:t>
      </w:r>
      <w:r w:rsidR="00560679">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d’une indétermination (</w:t>
      </w:r>
      <w:proofErr w:type="spellStart"/>
      <w:r w:rsidRPr="00C71A48">
        <w:rPr>
          <w:rFonts w:ascii="Garamond" w:eastAsia="Times New Roman" w:hAnsi="Garamond"/>
          <w:bCs/>
          <w:i/>
          <w:sz w:val="24"/>
          <w:szCs w:val="24"/>
          <w:lang w:eastAsia="fr-FR"/>
          <w14:shadow w14:blurRad="50800" w14:dist="38100" w14:dir="2700000" w14:sx="100000" w14:sy="100000" w14:kx="0" w14:ky="0" w14:algn="tl">
            <w14:srgbClr w14:val="000000">
              <w14:alpha w14:val="60000"/>
            </w14:srgbClr>
          </w14:shadow>
        </w:rPr>
        <w:t>inquaesita</w:t>
      </w:r>
      <w:proofErr w:type="spell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d’un doute, passe par l’institution d’un questionnement, la formulation d’hypothèses, l’expérimentation, avant d’aboutir peu ou prou à la restauration d’une forme d’équilibre. L’enquête se présente donc, pour John Dewey, comme une activité fondamentalement empirique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o</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ù</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les concepts interviennent de mani</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è</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re op</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rationnelle. </w:t>
      </w:r>
    </w:p>
    <w:p w14:paraId="0F0963ED"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764B2F52" w14:textId="77777777" w:rsid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t>I</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l s’</w:t>
      </w:r>
      <w:r>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agira plus précisément ici</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de questionner les échanges et les transferts qui se sont mis en place </w:t>
      </w:r>
      <w:r w:rsidR="00C71A48"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dans la seconde moitié du XX</w:t>
      </w:r>
      <w:r w:rsidR="00C71A48" w:rsidRPr="00C71A48">
        <w:rPr>
          <w:rFonts w:ascii="Garamond" w:eastAsia="Times New Roman" w:hAnsi="Garamond"/>
          <w:bCs/>
          <w:sz w:val="24"/>
          <w:szCs w:val="24"/>
          <w:vertAlign w:val="superscript"/>
          <w:lang w:eastAsia="fr-FR"/>
          <w14:shadow w14:blurRad="50800" w14:dist="38100" w14:dir="2700000" w14:sx="100000" w14:sy="100000" w14:kx="0" w14:ky="0" w14:algn="tl">
            <w14:srgbClr w14:val="000000">
              <w14:alpha w14:val="60000"/>
            </w14:srgbClr>
          </w14:shadow>
        </w:rPr>
        <w:t>e</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siècle </w:t>
      </w:r>
      <w:r w:rsidR="00C71A48"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entre les formes de l</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enqu</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ê</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te en sciences humaines et ces derni</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è</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res telle qu</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elles se trouvent th</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matis</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es dans le champ de l</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art. De fait, de nombreux artistes ont tendu pendant cette p</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riode </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à</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reprendre des proc</w:t>
      </w:r>
      <w:r w:rsidR="00C71A48"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dures issues du domaine scientifique. Ce fut par exemple le cas de Douglas </w:t>
      </w:r>
      <w:proofErr w:type="spellStart"/>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Huebler</w:t>
      </w:r>
      <w:proofErr w:type="spellEnd"/>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ou de John </w:t>
      </w:r>
      <w:proofErr w:type="spellStart"/>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Baldessari</w:t>
      </w:r>
      <w:proofErr w:type="spellEnd"/>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au sein du mouvement conceptuel : leurs travaux, critiques et ironiques, visaient à questionner des pratiques qu’ils jugeaient à certains égards positivistes. Mais, plus récemment, des artistes ont également eu recours aux formes de l’enquête, dans une réelle soif de convergence avec le champ des sciences humaines, ou encore d’appétence pour l’investigation du monde (qu’elle soit ethnographique, sociologique, </w:t>
      </w:r>
      <w:proofErr w:type="gramStart"/>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géographique…)</w:t>
      </w:r>
      <w:proofErr w:type="gramEnd"/>
      <w:r w:rsidR="00C71A48"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w:t>
      </w:r>
    </w:p>
    <w:p w14:paraId="3D634DC8"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25ABC833" w14:textId="77777777" w:rsidR="00C71A48" w:rsidRDefault="00C71A48"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t xml:space="preserve">Ainsi, avec </w:t>
      </w:r>
      <w:r w:rsidRPr="00C71A48">
        <w:rPr>
          <w:rFonts w:ascii="Garamond" w:eastAsia="Times New Roman" w:hAnsi="Garamond"/>
          <w:bCs/>
          <w:i/>
          <w:sz w:val="24"/>
          <w:szCs w:val="24"/>
          <w:lang w:eastAsia="fr-FR"/>
          <w14:shadow w14:blurRad="50800" w14:dist="38100" w14:dir="2700000" w14:sx="100000" w14:sy="100000" w14:kx="0" w14:ky="0" w14:algn="tl">
            <w14:srgbClr w14:val="000000">
              <w14:alpha w14:val="60000"/>
            </w14:srgbClr>
          </w14:shadow>
        </w:rPr>
        <w:t xml:space="preserve">Souvenirs de Berlin-Est </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(1999), Sophie Calle rapproche, dans ce qu’il est convenu d’appeler un « livre d’artiste », des photographies anciennes de symboles érigés à la gloire du pouvoir soviétique et des vues récentes qui montrent les mêmes lieux, aujourd’hui vidés de ces emblèmes. À ces images, elle adjoint la transcription de paroles d’habitants des sites qui livrent leurs impressions sur l’évacuation même des symboles qui autrefois rythmaient leur quotidien et sont aujourd’hui absents. Les formes de l’enquête de terrain se voient ici reprises. Le dispositif proposé amène à réfléchir sur le rapport des habitants à l’histoire récente et à leur environnement immédiat, désormais privé de repères et de mémoire.  </w:t>
      </w:r>
    </w:p>
    <w:p w14:paraId="4A2C1E80"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199AE367" w14:textId="77777777" w:rsidR="00C71A48" w:rsidRDefault="00C71A48"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t xml:space="preserve">Au sein de Clermont-Ferrand, dans le cadre d’une commande (2013), John Davies emprunte l’itinéraire de la Tiretaine, alors que la rivière se trouve aujourd’hui pour bonne partie </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lastRenderedPageBreak/>
        <w:t xml:space="preserve">enfermée sous le béton. Comme un détective (ou un sourcier), il suit la trace du cours d’eau autour duquel s’est développée </w:t>
      </w:r>
      <w:proofErr w:type="gram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l’agglomération  ;</w:t>
      </w:r>
      <w:proofErr w:type="gram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il en observe les indices, les restes au sein du bâti minéral. Il se livre ainsi à une relecture de la ville qui permet de faire émerger toute une stratification historique. </w:t>
      </w:r>
    </w:p>
    <w:p w14:paraId="6612A428"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74308625" w14:textId="77777777" w:rsidR="00C71A48" w:rsidRDefault="00C71A48"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t xml:space="preserve">Ces exemples rapidement envisagés ne sont là que pour manifester un tropisme, lisible dans bon nombre de pratiques de l’art contemporain, pour la démarche scientifique et l’enquête. Bien d’autres cas pourraient être invoqués. De fait, beaucoup d’artistes, photographes, écrivains, cinéastes… ne dissocient pas aujourd’hui leur démarche de création d’une forme de recherche portant sur la société où ils vivent. L’investigation qu’ils entendent mener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par le biais de leur m</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dium, mais selon des mod</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è</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les issus des sciences humaines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peut porter sur les modes de vie ou sur l’aménagement de l’espace, sur la manière de comprendre le passé comme sur celle d’analyser le présent. </w:t>
      </w:r>
    </w:p>
    <w:p w14:paraId="04971DB3"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345B1101" w14:textId="77777777" w:rsidR="00C71A48" w:rsidRDefault="00C71A48"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t xml:space="preserve">Inversement, il est loisible de postuler que les démarches artistiques peuvent informer la manière de travailler des chercheurs en sciences humaines. Sans doute peuvent-elles les pousser à revendiquer davantage la part du point de vue personnel, les enjeux de la fantaisie. Elles accusent en tout cas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si besoin en </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tait </w:t>
      </w:r>
      <w:r w:rsidRPr="00C71A48">
        <w:rPr>
          <w:rFonts w:ascii="Times New Roman" w:eastAsia="Times New Roman" w:hAnsi="Times New Roman"/>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l</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influence de l</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observateur sur le milieu observ</w:t>
      </w:r>
      <w:r w:rsidRPr="00C71A48">
        <w:rPr>
          <w:rFonts w:ascii="Garamond" w:eastAsia="Times New Roman" w:hAnsi="Garamond" w:cs="Garamond"/>
          <w:bCs/>
          <w:sz w:val="24"/>
          <w:szCs w:val="24"/>
          <w:lang w:eastAsia="fr-FR"/>
          <w14:shadow w14:blurRad="50800" w14:dist="38100" w14:dir="2700000" w14:sx="100000" w14:sy="100000" w14:kx="0" w14:ky="0" w14:algn="tl">
            <w14:srgbClr w14:val="000000">
              <w14:alpha w14:val="60000"/>
            </w14:srgbClr>
          </w14:shadow>
        </w:rPr>
        <w:t>é</w:t>
      </w: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auquel il participe ; elles amènent la mise en évidence de phénomènes de </w:t>
      </w:r>
      <w:proofErr w:type="spell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sérendipité</w:t>
      </w:r>
      <w:proofErr w:type="spell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La part du visuel, l’importance du sensible pour la compréhension des phénomènes se </w:t>
      </w:r>
      <w:proofErr w:type="gramStart"/>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trouvent</w:t>
      </w:r>
      <w:proofErr w:type="gramEnd"/>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 xml:space="preserve"> également mises en évidence. Ces travaux amènent à percevoir la place de l’imagination dans la démarche scientifique. </w:t>
      </w:r>
    </w:p>
    <w:p w14:paraId="24A816F3" w14:textId="77777777" w:rsidR="00ED5A8F" w:rsidRPr="00C71A48" w:rsidRDefault="00ED5A8F" w:rsidP="00C71A48">
      <w:pPr>
        <w:spacing w:after="0" w:line="240" w:lineRule="auto"/>
        <w:jc w:val="both"/>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pPr>
    </w:p>
    <w:p w14:paraId="5F853BF8" w14:textId="77777777" w:rsidR="00C71A48" w:rsidRPr="00ED5A8F" w:rsidRDefault="00C71A48" w:rsidP="00C71A48">
      <w:pPr>
        <w:spacing w:after="0" w:line="240" w:lineRule="auto"/>
        <w:jc w:val="both"/>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pPr>
      <w:r w:rsidRPr="00C71A48">
        <w:rPr>
          <w:rFonts w:ascii="Garamond" w:eastAsia="Times New Roman" w:hAnsi="Garamond"/>
          <w:bCs/>
          <w:sz w:val="24"/>
          <w:szCs w:val="24"/>
          <w:lang w:eastAsia="fr-FR"/>
          <w14:shadow w14:blurRad="50800" w14:dist="38100" w14:dir="2700000" w14:sx="100000" w14:sy="100000" w14:kx="0" w14:ky="0" w14:algn="tl">
            <w14:srgbClr w14:val="000000">
              <w14:alpha w14:val="60000"/>
            </w14:srgbClr>
          </w14:shadow>
        </w:rPr>
        <w:tab/>
      </w: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 xml:space="preserve">Ce sont les échanges, les transferts et les contaminations entre le champ des arts et celui des sciences humaines </w:t>
      </w:r>
      <w:r w:rsidRPr="00ED5A8F">
        <w:rPr>
          <w:rFonts w:ascii="Times New Roman" w:eastAsia="Times New Roman" w:hAnsi="Times New Roman"/>
          <w:b/>
          <w:bCs/>
          <w:color w:val="FF0000"/>
          <w:sz w:val="24"/>
          <w:szCs w:val="24"/>
          <w:lang w:eastAsia="fr-FR"/>
          <w14:shadow w14:blurRad="50800" w14:dist="38100" w14:dir="2700000" w14:sx="100000" w14:sy="100000" w14:kx="0" w14:ky="0" w14:algn="tl">
            <w14:srgbClr w14:val="000000">
              <w14:alpha w14:val="60000"/>
            </w14:srgbClr>
          </w14:shadow>
        </w:rPr>
        <w:t>‒</w:t>
      </w: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 xml:space="preserve"> en ce qui concerne les formes de l</w:t>
      </w:r>
      <w:r w:rsidRPr="00ED5A8F">
        <w:rPr>
          <w:rFonts w:ascii="Garamond" w:eastAsia="Times New Roman" w:hAnsi="Garamond" w:cs="Garamond"/>
          <w:b/>
          <w:bCs/>
          <w:color w:val="FF0000"/>
          <w:sz w:val="24"/>
          <w:szCs w:val="24"/>
          <w:lang w:eastAsia="fr-FR"/>
          <w14:shadow w14:blurRad="50800" w14:dist="38100" w14:dir="2700000" w14:sx="100000" w14:sy="100000" w14:kx="0" w14:ky="0" w14:algn="tl">
            <w14:srgbClr w14:val="000000">
              <w14:alpha w14:val="60000"/>
            </w14:srgbClr>
          </w14:shadow>
        </w:rPr>
        <w:t>’</w:t>
      </w: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enqu</w:t>
      </w:r>
      <w:r w:rsidRPr="00ED5A8F">
        <w:rPr>
          <w:rFonts w:ascii="Garamond" w:eastAsia="Times New Roman" w:hAnsi="Garamond" w:cs="Garamond"/>
          <w:b/>
          <w:bCs/>
          <w:color w:val="FF0000"/>
          <w:sz w:val="24"/>
          <w:szCs w:val="24"/>
          <w:lang w:eastAsia="fr-FR"/>
          <w14:shadow w14:blurRad="50800" w14:dist="38100" w14:dir="2700000" w14:sx="100000" w14:sy="100000" w14:kx="0" w14:ky="0" w14:algn="tl">
            <w14:srgbClr w14:val="000000">
              <w14:alpha w14:val="60000"/>
            </w14:srgbClr>
          </w14:shadow>
        </w:rPr>
        <w:t>ê</w:t>
      </w: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 xml:space="preserve">te </w:t>
      </w:r>
      <w:r w:rsidRPr="00ED5A8F">
        <w:rPr>
          <w:rFonts w:ascii="Times New Roman" w:eastAsia="Times New Roman" w:hAnsi="Times New Roman"/>
          <w:b/>
          <w:bCs/>
          <w:color w:val="FF0000"/>
          <w:sz w:val="24"/>
          <w:szCs w:val="24"/>
          <w:lang w:eastAsia="fr-FR"/>
          <w14:shadow w14:blurRad="50800" w14:dist="38100" w14:dir="2700000" w14:sx="100000" w14:sy="100000" w14:kx="0" w14:ky="0" w14:algn="tl">
            <w14:srgbClr w14:val="000000">
              <w14:alpha w14:val="60000"/>
            </w14:srgbClr>
          </w14:shadow>
        </w:rPr>
        <w:t>‒</w:t>
      </w:r>
      <w:r w:rsid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 xml:space="preserve"> que ce colloque </w:t>
      </w:r>
      <w:r w:rsidRPr="00ED5A8F">
        <w:rPr>
          <w:rFonts w:ascii="Garamond" w:eastAsia="Times New Roman" w:hAnsi="Garamond"/>
          <w:b/>
          <w:bCs/>
          <w:color w:val="FF0000"/>
          <w:sz w:val="24"/>
          <w:szCs w:val="24"/>
          <w:lang w:eastAsia="fr-FR"/>
          <w14:shadow w14:blurRad="50800" w14:dist="38100" w14:dir="2700000" w14:sx="100000" w14:sy="100000" w14:kx="0" w14:ky="0" w14:algn="tl">
            <w14:srgbClr w14:val="000000">
              <w14:alpha w14:val="60000"/>
            </w14:srgbClr>
          </w14:shadow>
        </w:rPr>
        <w:t>entend interroger en profondeur.</w:t>
      </w:r>
    </w:p>
    <w:p w14:paraId="155A952E" w14:textId="77777777" w:rsidR="00C71A48" w:rsidRPr="00C71A48" w:rsidRDefault="00C71A48" w:rsidP="00C71A48">
      <w:pPr>
        <w:spacing w:after="0" w:line="240" w:lineRule="auto"/>
        <w:jc w:val="both"/>
        <w:rPr>
          <w:rFonts w:ascii="Garamond" w:eastAsia="Times New Roman" w:hAnsi="Garamond"/>
          <w:b/>
          <w:bCs/>
          <w:sz w:val="24"/>
          <w:szCs w:val="24"/>
          <w:lang w:eastAsia="fr-FR"/>
          <w14:shadow w14:blurRad="50800" w14:dist="38100" w14:dir="2700000" w14:sx="100000" w14:sy="100000" w14:kx="0" w14:ky="0" w14:algn="tl">
            <w14:srgbClr w14:val="000000">
              <w14:alpha w14:val="60000"/>
            </w14:srgbClr>
          </w14:shadow>
        </w:rPr>
      </w:pPr>
    </w:p>
    <w:p w14:paraId="4F19B165" w14:textId="77777777" w:rsidR="008279FD" w:rsidRPr="00C71A48" w:rsidRDefault="008279FD" w:rsidP="00C71A48">
      <w:pPr>
        <w:spacing w:line="240" w:lineRule="auto"/>
        <w:rPr>
          <w:rFonts w:ascii="Garamond" w:hAnsi="Garamond"/>
        </w:rPr>
      </w:pPr>
    </w:p>
    <w:sectPr w:rsidR="008279FD" w:rsidRPr="00C71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3B"/>
    <w:rsid w:val="00282581"/>
    <w:rsid w:val="003D07D6"/>
    <w:rsid w:val="003E7505"/>
    <w:rsid w:val="0041224A"/>
    <w:rsid w:val="00473C04"/>
    <w:rsid w:val="004E733B"/>
    <w:rsid w:val="00560679"/>
    <w:rsid w:val="00600C41"/>
    <w:rsid w:val="00753287"/>
    <w:rsid w:val="008279FD"/>
    <w:rsid w:val="008642CC"/>
    <w:rsid w:val="00992B46"/>
    <w:rsid w:val="00A13A10"/>
    <w:rsid w:val="00A6655C"/>
    <w:rsid w:val="00C71A48"/>
    <w:rsid w:val="00EC7466"/>
    <w:rsid w:val="00ED5A8F"/>
    <w:rsid w:val="00F87A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F4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4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1A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4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1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tine.patsalis@univ-st-etienne.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7000</Characters>
  <Application>Microsoft Macintosh Word</Application>
  <DocSecurity>0</DocSecurity>
  <Lines>58</Lines>
  <Paragraphs>16</Paragraphs>
  <ScaleCrop>false</ScaleCrop>
  <Company>Hewlett-Packard Company</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Assistant Coordination</cp:lastModifiedBy>
  <cp:revision>2</cp:revision>
  <dcterms:created xsi:type="dcterms:W3CDTF">2016-09-16T16:21:00Z</dcterms:created>
  <dcterms:modified xsi:type="dcterms:W3CDTF">2016-09-16T16:21:00Z</dcterms:modified>
</cp:coreProperties>
</file>