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B5" w:rsidRPr="00FD50A8" w:rsidRDefault="00ED2EB5" w:rsidP="00D21AD3">
      <w:pPr>
        <w:jc w:val="center"/>
        <w:rPr>
          <w:b/>
        </w:rPr>
      </w:pPr>
      <w:r>
        <w:rPr>
          <w:b/>
        </w:rPr>
        <w:t>Les dessous des genres</w:t>
      </w:r>
      <w:r w:rsidR="00950361">
        <w:rPr>
          <w:b/>
        </w:rPr>
        <w:t>. S</w:t>
      </w:r>
      <w:r>
        <w:rPr>
          <w:b/>
        </w:rPr>
        <w:t>exe et (sous)</w:t>
      </w:r>
      <w:r w:rsidR="00950361">
        <w:rPr>
          <w:b/>
        </w:rPr>
        <w:t>-genres littéraires : quels rapports ?</w:t>
      </w:r>
    </w:p>
    <w:p w:rsidR="00D21AD3" w:rsidRPr="00FD50A8" w:rsidRDefault="00EE5151" w:rsidP="00FD50A8">
      <w:pPr>
        <w:jc w:val="center"/>
      </w:pPr>
      <w:r>
        <w:t>Journée d’études organisée par Laetitia Hanin et Andrea Oberhuber</w:t>
      </w:r>
    </w:p>
    <w:p w:rsidR="00D21AD3" w:rsidRPr="00FD50A8" w:rsidRDefault="00D21AD3" w:rsidP="00D21AD3">
      <w:pPr>
        <w:jc w:val="center"/>
      </w:pPr>
      <w:r w:rsidRPr="00FD50A8">
        <w:t>Université de Montréal</w:t>
      </w:r>
      <w:r w:rsidR="00EE5151">
        <w:t xml:space="preserve"> / Figura-UdeM, 16 mai 2019</w:t>
      </w:r>
    </w:p>
    <w:p w:rsidR="00950361" w:rsidRDefault="00950361" w:rsidP="00D21AD3">
      <w:pPr>
        <w:jc w:val="both"/>
      </w:pPr>
    </w:p>
    <w:p w:rsidR="00BE3C3C" w:rsidRDefault="00950361" w:rsidP="00D21AD3">
      <w:pPr>
        <w:jc w:val="both"/>
      </w:pPr>
      <w:r>
        <w:t>Quand le critique Eugène de Mirecourt écrit, à propos de Clémence Robert, que « </w:t>
      </w:r>
      <w:r w:rsidRPr="00950361">
        <w:t>chose inouïe et tout à fait exceptionnelle dans le genre</w:t>
      </w:r>
      <w:r>
        <w:t> »,</w:t>
      </w:r>
      <w:r w:rsidRPr="00950361">
        <w:t xml:space="preserve"> </w:t>
      </w:r>
      <w:r w:rsidRPr="004B238F">
        <w:t>« jamais elle n’a fait de livres de femme</w:t>
      </w:r>
      <w:r>
        <w:t> », et que son encrier</w:t>
      </w:r>
      <w:r w:rsidRPr="00950361">
        <w:t xml:space="preserve"> </w:t>
      </w:r>
      <w:r>
        <w:t>ne contient « </w:t>
      </w:r>
      <w:r w:rsidRPr="004B238F">
        <w:t>pas une gouttelette d’eau de rose</w:t>
      </w:r>
      <w:r>
        <w:t xml:space="preserve"> », </w:t>
      </w:r>
      <w:r w:rsidR="0042473A">
        <w:t xml:space="preserve">puisqu’il se voue </w:t>
      </w:r>
      <w:r>
        <w:t xml:space="preserve">au </w:t>
      </w:r>
      <w:r w:rsidR="00E741A0">
        <w:t>roman</w:t>
      </w:r>
      <w:r>
        <w:t xml:space="preserve"> « des chausse-trappes, des meurtres et des batailles », à celui des « divagations politiques » et aux « romans de mœurs [qui]</w:t>
      </w:r>
      <w:r w:rsidR="00EE5151">
        <w:t xml:space="preserve"> excellent par l’inobservation</w:t>
      </w:r>
      <w:r>
        <w:rPr>
          <w:rStyle w:val="FootnoteReference"/>
        </w:rPr>
        <w:footnoteReference w:id="1"/>
      </w:r>
      <w:r w:rsidR="00EE5151">
        <w:t> »</w:t>
      </w:r>
      <w:r>
        <w:t xml:space="preserve">, il </w:t>
      </w:r>
      <w:r w:rsidR="00EE5151">
        <w:t xml:space="preserve">souligne </w:t>
      </w:r>
      <w:r>
        <w:t>l’hétérogénéité des sous-genres littéraires au milieu du XIX</w:t>
      </w:r>
      <w:r w:rsidR="00EE5151" w:rsidRPr="00EE5151">
        <w:rPr>
          <w:vertAlign w:val="superscript"/>
        </w:rPr>
        <w:t>e</w:t>
      </w:r>
      <w:r w:rsidR="00EE5151">
        <w:t xml:space="preserve"> </w:t>
      </w:r>
      <w:r>
        <w:t>siècle</w:t>
      </w:r>
      <w:r w:rsidR="00EE5151">
        <w:t>, ainsi que</w:t>
      </w:r>
      <w:r w:rsidR="00E741A0">
        <w:t xml:space="preserve"> leur rép</w:t>
      </w:r>
      <w:r w:rsidR="00BB36D5">
        <w:t>artition sexuée. Aux femmes, le roman</w:t>
      </w:r>
      <w:r w:rsidR="00E741A0">
        <w:t xml:space="preserve"> de sentiment</w:t>
      </w:r>
      <w:r w:rsidR="00BB36D5">
        <w:t xml:space="preserve"> à tendance autobiographique, le conte ou le livre (illustré) pour enfants</w:t>
      </w:r>
      <w:r w:rsidR="00E741A0">
        <w:t> </w:t>
      </w:r>
      <w:r w:rsidR="00BB36D5">
        <w:t>; aux hommes, le roman historique, politique</w:t>
      </w:r>
      <w:r w:rsidR="00E741A0">
        <w:t xml:space="preserve"> ou de mœurs. </w:t>
      </w:r>
    </w:p>
    <w:p w:rsidR="00D21AD3" w:rsidRPr="00FD50A8" w:rsidRDefault="00E741A0" w:rsidP="00D21AD3">
      <w:pPr>
        <w:jc w:val="both"/>
      </w:pPr>
      <w:r>
        <w:t>Si la réalité est plus nuancée, force est de con</w:t>
      </w:r>
      <w:r w:rsidR="00BE3C3C">
        <w:t xml:space="preserve">stater une association entre sexe </w:t>
      </w:r>
      <w:r w:rsidR="00EE5151">
        <w:t xml:space="preserve">de </w:t>
      </w:r>
      <w:r w:rsidR="007960D2">
        <w:t xml:space="preserve">l’écrivain.e </w:t>
      </w:r>
      <w:r w:rsidR="00BE3C3C">
        <w:t>et (sous-)genres littéraires dans</w:t>
      </w:r>
      <w:r w:rsidR="00EE5151">
        <w:t xml:space="preserve"> la période qui s’étend de la première moitié du</w:t>
      </w:r>
      <w:r>
        <w:t xml:space="preserve"> XI</w:t>
      </w:r>
      <w:r w:rsidR="00EE5151">
        <w:t>X</w:t>
      </w:r>
      <w:r w:rsidR="00EE5151" w:rsidRPr="00EE5151">
        <w:rPr>
          <w:vertAlign w:val="superscript"/>
        </w:rPr>
        <w:t>e</w:t>
      </w:r>
      <w:r>
        <w:t xml:space="preserve"> siècle à l’</w:t>
      </w:r>
      <w:r w:rsidR="00BE3C3C">
        <w:t>entre-deux-guerres. </w:t>
      </w:r>
      <w:r w:rsidR="00D21AD3" w:rsidRPr="00FD50A8">
        <w:t xml:space="preserve">Les noms </w:t>
      </w:r>
      <w:r w:rsidR="00146F39" w:rsidRPr="00FD50A8">
        <w:t>de</w:t>
      </w:r>
      <w:r w:rsidR="00EE5151">
        <w:t xml:space="preserve"> Félicité</w:t>
      </w:r>
      <w:r>
        <w:t xml:space="preserve"> de Genlis</w:t>
      </w:r>
      <w:r w:rsidR="00146F39" w:rsidRPr="00FD50A8">
        <w:t xml:space="preserve">, </w:t>
      </w:r>
      <w:r w:rsidR="00146F39">
        <w:t xml:space="preserve">de </w:t>
      </w:r>
      <w:r w:rsidR="00146F39" w:rsidRPr="00FD50A8">
        <w:t xml:space="preserve">Marceline Desbordes-Valmore, </w:t>
      </w:r>
      <w:r w:rsidR="00D21AD3" w:rsidRPr="00FD50A8">
        <w:t>d’Horte</w:t>
      </w:r>
      <w:r w:rsidR="00146F39">
        <w:t xml:space="preserve">nse Allart, de Daniel Stern, </w:t>
      </w:r>
      <w:r w:rsidR="00D21AD3" w:rsidRPr="00FD50A8">
        <w:t xml:space="preserve">de Louise Colet, d’André Léo, </w:t>
      </w:r>
      <w:r w:rsidR="00BE3C3C">
        <w:t>de Jules V</w:t>
      </w:r>
      <w:r w:rsidR="0042473A">
        <w:t>erne</w:t>
      </w:r>
      <w:r w:rsidR="00BE3C3C">
        <w:t xml:space="preserve">, </w:t>
      </w:r>
      <w:r w:rsidR="00D21AD3" w:rsidRPr="00FD50A8">
        <w:t xml:space="preserve">d’Henry Gréville, de Thérèse Bentzon, de Georges de Peyrebrune, </w:t>
      </w:r>
      <w:r w:rsidR="00146F39" w:rsidRPr="00FD50A8">
        <w:t xml:space="preserve">de Judith Gautier, </w:t>
      </w:r>
      <w:r w:rsidR="00BE3C3C">
        <w:t>d’Albert Robida,</w:t>
      </w:r>
      <w:r w:rsidR="00D21AD3" w:rsidRPr="00FD50A8">
        <w:t xml:space="preserve"> </w:t>
      </w:r>
      <w:r w:rsidR="00BE3C3C">
        <w:t xml:space="preserve">de </w:t>
      </w:r>
      <w:r w:rsidR="00D21AD3" w:rsidRPr="00FD50A8">
        <w:t>Colette, de Lucie Delarue-Mardrus, d’Anna d</w:t>
      </w:r>
      <w:r w:rsidR="00185CBC">
        <w:t xml:space="preserve">e Noailles, </w:t>
      </w:r>
      <w:r w:rsidR="00EE5151">
        <w:t>de Claude Cahun et</w:t>
      </w:r>
      <w:r w:rsidR="00BE3C3C">
        <w:t xml:space="preserve"> </w:t>
      </w:r>
      <w:r w:rsidR="00436CD5">
        <w:t xml:space="preserve">de Mireille Harvey, </w:t>
      </w:r>
      <w:r w:rsidR="00EE5151">
        <w:t xml:space="preserve">entre autres, </w:t>
      </w:r>
      <w:r w:rsidR="00D21AD3" w:rsidRPr="00FD50A8">
        <w:t xml:space="preserve">peuvent être associés à </w:t>
      </w:r>
      <w:r w:rsidR="00BE3C3C">
        <w:t xml:space="preserve">des </w:t>
      </w:r>
      <w:r w:rsidR="00D21AD3" w:rsidRPr="00FD50A8">
        <w:t>sous-genres littéraires</w:t>
      </w:r>
      <w:r w:rsidR="00BE3C3C">
        <w:t xml:space="preserve"> déterminés</w:t>
      </w:r>
      <w:r w:rsidR="00D21AD3" w:rsidRPr="00FD50A8">
        <w:t xml:space="preserve"> : roman </w:t>
      </w:r>
      <w:r w:rsidR="00BE3C3C">
        <w:t>sentimental</w:t>
      </w:r>
      <w:r w:rsidR="00D21AD3" w:rsidRPr="00FD50A8">
        <w:t xml:space="preserve"> ou champêtre, conte, </w:t>
      </w:r>
      <w:r>
        <w:t>roman de mœurs étrangères, récit</w:t>
      </w:r>
      <w:r w:rsidR="00D21AD3" w:rsidRPr="00FD50A8">
        <w:t xml:space="preserve"> autobiographique, </w:t>
      </w:r>
      <w:r w:rsidR="00BE3C3C">
        <w:t>roman d’anticipation, science-fiction, récit de voyage, etc</w:t>
      </w:r>
      <w:r w:rsidR="00D21AD3" w:rsidRPr="00FD50A8">
        <w:t>. Comment expliqu</w:t>
      </w:r>
      <w:r w:rsidR="0029654D">
        <w:t xml:space="preserve">er cette association </w:t>
      </w:r>
      <w:r w:rsidR="00BB36D5">
        <w:t xml:space="preserve">apparemment « naturelle » </w:t>
      </w:r>
      <w:r w:rsidR="0029654D">
        <w:t>entre sexe et</w:t>
      </w:r>
      <w:r w:rsidR="009C2F96">
        <w:t xml:space="preserve"> </w:t>
      </w:r>
      <w:r w:rsidR="00EE5151">
        <w:t>(</w:t>
      </w:r>
      <w:r w:rsidR="00D21AD3" w:rsidRPr="00FD50A8">
        <w:t>sous-</w:t>
      </w:r>
      <w:r w:rsidR="00EE5151">
        <w:t>)</w:t>
      </w:r>
      <w:r w:rsidR="00D21AD3" w:rsidRPr="00FD50A8">
        <w:t>genres littéraires ?</w:t>
      </w:r>
      <w:r w:rsidR="009C2F96">
        <w:t xml:space="preserve"> Telle est la question que </w:t>
      </w:r>
      <w:r w:rsidR="000A6ED0">
        <w:t>souhaite</w:t>
      </w:r>
      <w:r w:rsidR="009C2F96">
        <w:t xml:space="preserve"> poser cette journée.</w:t>
      </w:r>
    </w:p>
    <w:p w:rsidR="00FD50A8" w:rsidRDefault="00D21AD3" w:rsidP="00D21AD3">
      <w:pPr>
        <w:jc w:val="both"/>
      </w:pPr>
      <w:r w:rsidRPr="00FD50A8">
        <w:t>Plusie</w:t>
      </w:r>
      <w:r w:rsidR="00EE5151">
        <w:t>urs explications semblent pouvoir</w:t>
      </w:r>
      <w:r w:rsidRPr="00FD50A8">
        <w:t xml:space="preserve"> être</w:t>
      </w:r>
      <w:r w:rsidR="0029654D">
        <w:t xml:space="preserve"> avancées</w:t>
      </w:r>
      <w:r w:rsidRPr="00FD50A8">
        <w:t xml:space="preserve">. </w:t>
      </w:r>
      <w:r w:rsidR="009C2F96">
        <w:t>Le commentaire cité d’</w:t>
      </w:r>
      <w:r w:rsidR="004B238F">
        <w:t>Eugène de Mirecourt</w:t>
      </w:r>
      <w:r w:rsidR="009C2F96">
        <w:t xml:space="preserve">, qui prête une couleur à l’encrier féminin et </w:t>
      </w:r>
      <w:r w:rsidR="006F02B9">
        <w:t xml:space="preserve">malmène </w:t>
      </w:r>
      <w:r w:rsidR="009C2F96">
        <w:t>la plume qui ose tremper ailleurs, révèle l’existence</w:t>
      </w:r>
      <w:r w:rsidR="00ED2EB5" w:rsidRPr="00FD50A8">
        <w:t xml:space="preserve"> </w:t>
      </w:r>
      <w:r w:rsidR="009C2F96">
        <w:t>d’</w:t>
      </w:r>
      <w:r w:rsidR="00ED2EB5" w:rsidRPr="00FD50A8">
        <w:t xml:space="preserve">un imaginaire genré des </w:t>
      </w:r>
      <w:r w:rsidR="0026143B">
        <w:t>(</w:t>
      </w:r>
      <w:r w:rsidR="00ED2EB5">
        <w:t>sous-</w:t>
      </w:r>
      <w:r w:rsidR="0026143B">
        <w:t>)</w:t>
      </w:r>
      <w:r w:rsidR="00ED2EB5">
        <w:t xml:space="preserve">genres </w:t>
      </w:r>
      <w:r w:rsidR="00ED2EB5" w:rsidRPr="00FD50A8">
        <w:t xml:space="preserve">littéraires </w:t>
      </w:r>
      <w:r w:rsidR="00ED2EB5">
        <w:t xml:space="preserve">et fait sentir </w:t>
      </w:r>
      <w:r w:rsidR="006F02B9">
        <w:t xml:space="preserve">le ridicule </w:t>
      </w:r>
      <w:r w:rsidR="00ED2EB5">
        <w:t>au</w:t>
      </w:r>
      <w:r w:rsidR="006F02B9">
        <w:t>quel</w:t>
      </w:r>
      <w:r w:rsidR="00ED2EB5">
        <w:t xml:space="preserve"> s’</w:t>
      </w:r>
      <w:r w:rsidR="006F02B9">
        <w:t>exposent les écrivaines</w:t>
      </w:r>
      <w:r w:rsidR="00ED2EB5">
        <w:t xml:space="preserve"> qui ne s’y conforment pas.</w:t>
      </w:r>
      <w:r w:rsidR="006F02B9">
        <w:t xml:space="preserve"> </w:t>
      </w:r>
      <w:r w:rsidRPr="00FD50A8">
        <w:t>On peut sans doute expliquer par</w:t>
      </w:r>
      <w:r w:rsidR="0026143B">
        <w:t xml:space="preserve"> un tel « imaginaire générique</w:t>
      </w:r>
      <w:r w:rsidRPr="00FD50A8">
        <w:rPr>
          <w:rStyle w:val="FootnoteReference"/>
        </w:rPr>
        <w:footnoteReference w:id="2"/>
      </w:r>
      <w:r w:rsidR="0026143B">
        <w:t> »</w:t>
      </w:r>
      <w:r w:rsidR="000A6ED0">
        <w:t xml:space="preserve"> –</w:t>
      </w:r>
      <w:r w:rsidR="0026143B">
        <w:t xml:space="preserve"> </w:t>
      </w:r>
      <w:r w:rsidR="006F02B9">
        <w:t>résultat du regard de</w:t>
      </w:r>
      <w:r w:rsidR="000A6ED0">
        <w:t>s</w:t>
      </w:r>
      <w:r w:rsidR="006F02B9">
        <w:t xml:space="preserve"> critiques</w:t>
      </w:r>
      <w:r w:rsidR="004A3B9E">
        <w:t>, d</w:t>
      </w:r>
      <w:r w:rsidR="000A6ED0">
        <w:t xml:space="preserve">es </w:t>
      </w:r>
      <w:r w:rsidR="004A3B9E">
        <w:t>éditeurs</w:t>
      </w:r>
      <w:r w:rsidR="006F02B9">
        <w:t xml:space="preserve"> et d’écriv</w:t>
      </w:r>
      <w:r w:rsidR="000A6ED0">
        <w:t>ains comme Balzac, Sainte-Beuve ou</w:t>
      </w:r>
      <w:r w:rsidR="006F02B9">
        <w:t xml:space="preserve"> Barbey d’Aurevilly</w:t>
      </w:r>
      <w:r w:rsidR="0026143B">
        <w:t xml:space="preserve"> </w:t>
      </w:r>
      <w:r w:rsidR="000A6ED0">
        <w:t>–</w:t>
      </w:r>
      <w:r w:rsidR="006F02B9">
        <w:t>,</w:t>
      </w:r>
      <w:r w:rsidRPr="00FD50A8">
        <w:t xml:space="preserve"> le choix fait par </w:t>
      </w:r>
      <w:r w:rsidR="0026143B">
        <w:t xml:space="preserve">de nombreuses femmes de lettres </w:t>
      </w:r>
      <w:r w:rsidRPr="00FD50A8">
        <w:t xml:space="preserve">de se tenir </w:t>
      </w:r>
      <w:r w:rsidR="0026143B">
        <w:t xml:space="preserve">loin </w:t>
      </w:r>
      <w:r w:rsidRPr="00FD50A8">
        <w:t>des ge</w:t>
      </w:r>
      <w:r w:rsidR="000A6ED0">
        <w:t xml:space="preserve">nres à haute valeur symbolique tels que la poésie, le </w:t>
      </w:r>
      <w:r w:rsidR="006F02B9">
        <w:t xml:space="preserve">théâtre </w:t>
      </w:r>
      <w:r w:rsidRPr="00FD50A8">
        <w:t xml:space="preserve">ou encore </w:t>
      </w:r>
      <w:r w:rsidR="00BB36D5">
        <w:t xml:space="preserve">le </w:t>
      </w:r>
      <w:r w:rsidRPr="00FD50A8">
        <w:t xml:space="preserve">roman réaliste lancé par de jeunes écrivains en quête de reconnaissance. Dans sa brève fiction intitulée </w:t>
      </w:r>
      <w:r w:rsidR="0026143B">
        <w:rPr>
          <w:i/>
        </w:rPr>
        <w:t>Une f</w:t>
      </w:r>
      <w:r w:rsidRPr="00FD50A8">
        <w:rPr>
          <w:i/>
        </w:rPr>
        <w:t>amille parisienne au XIX</w:t>
      </w:r>
      <w:r w:rsidR="0026143B" w:rsidRPr="0026143B">
        <w:rPr>
          <w:i/>
          <w:vertAlign w:val="superscript"/>
        </w:rPr>
        <w:t>e</w:t>
      </w:r>
      <w:r w:rsidRPr="00FD50A8">
        <w:rPr>
          <w:i/>
        </w:rPr>
        <w:t xml:space="preserve"> siècle</w:t>
      </w:r>
      <w:r w:rsidRPr="00FD50A8">
        <w:t xml:space="preserve"> (1857), Virginie Ancelot établit </w:t>
      </w:r>
      <w:r w:rsidR="000A6ED0">
        <w:t xml:space="preserve">ainsi </w:t>
      </w:r>
      <w:r w:rsidRPr="00FD50A8">
        <w:t xml:space="preserve">un lien entre les révolutions littéraires et la </w:t>
      </w:r>
      <w:r w:rsidR="0026143B">
        <w:t>différence des sexes. Le constat est dressé</w:t>
      </w:r>
      <w:r w:rsidR="00FD50A8">
        <w:t xml:space="preserve"> à propos du romantisme : </w:t>
      </w:r>
    </w:p>
    <w:p w:rsidR="00FD50A8" w:rsidRPr="00146F39" w:rsidRDefault="00D21AD3" w:rsidP="00FD50A8">
      <w:pPr>
        <w:spacing w:line="240" w:lineRule="auto"/>
        <w:ind w:left="567" w:right="567"/>
        <w:jc w:val="both"/>
        <w:rPr>
          <w:sz w:val="20"/>
          <w:szCs w:val="20"/>
        </w:rPr>
      </w:pPr>
      <w:r w:rsidRPr="00146F39">
        <w:rPr>
          <w:sz w:val="20"/>
          <w:szCs w:val="20"/>
        </w:rPr>
        <w:t xml:space="preserve">Une littérature nouvelle avait éclaté et marqué ses débuts par l’insulte à tout ce qui l’avait précédée. Tuer tout ce qui avait été avant elle était le mot d’ordre de la bande noire littéraire, qui, n’ayant pas le génie de construire, s’en dédommageait par sa puissance de démolition. Les écrits sont les drapeaux qui mènent à leur suite les cohortes ; de notre temps surtout, où les </w:t>
      </w:r>
      <w:r w:rsidRPr="00146F39">
        <w:rPr>
          <w:sz w:val="20"/>
          <w:szCs w:val="20"/>
        </w:rPr>
        <w:lastRenderedPageBreak/>
        <w:t>idées se font jour et s’imposent à tous par les journaux ! Le mépris pour le vieillard et pour la femme ne manque j</w:t>
      </w:r>
      <w:r w:rsidR="00FD50A8" w:rsidRPr="00146F39">
        <w:rPr>
          <w:sz w:val="20"/>
          <w:szCs w:val="20"/>
        </w:rPr>
        <w:t>amais aux époques de décadence</w:t>
      </w:r>
      <w:r w:rsidRPr="00146F39">
        <w:rPr>
          <w:rStyle w:val="FootnoteReference"/>
          <w:sz w:val="20"/>
          <w:szCs w:val="20"/>
        </w:rPr>
        <w:footnoteReference w:id="3"/>
      </w:r>
      <w:r w:rsidRPr="00146F39">
        <w:rPr>
          <w:sz w:val="20"/>
          <w:szCs w:val="20"/>
        </w:rPr>
        <w:t xml:space="preserve">. </w:t>
      </w:r>
    </w:p>
    <w:p w:rsidR="00D21AD3" w:rsidRPr="00FD50A8" w:rsidRDefault="002B6E63" w:rsidP="00D21AD3">
      <w:pPr>
        <w:jc w:val="both"/>
      </w:pPr>
      <w:r>
        <w:t>L</w:t>
      </w:r>
      <w:r w:rsidR="00D21AD3" w:rsidRPr="00FD50A8">
        <w:t xml:space="preserve">es écrivaines sont </w:t>
      </w:r>
      <w:r>
        <w:t xml:space="preserve">sans doute </w:t>
      </w:r>
      <w:r w:rsidR="00D21AD3" w:rsidRPr="00FD50A8">
        <w:t>pour quelque chose dans de tels imaginaires, soi</w:t>
      </w:r>
      <w:r w:rsidR="004A3B9E">
        <w:t>t qu’elles s’y conforment, soit qu’elles</w:t>
      </w:r>
      <w:r w:rsidR="0026143B">
        <w:t xml:space="preserve"> contribuent à en construire dans et par leurs propres pratiques littéraires</w:t>
      </w:r>
      <w:r w:rsidR="00D21AD3" w:rsidRPr="00FD50A8">
        <w:t>.</w:t>
      </w:r>
      <w:r w:rsidR="004A3B9E">
        <w:t xml:space="preserve"> Il s’agira d’étudier les modalités d’appropriation des </w:t>
      </w:r>
      <w:r w:rsidR="0026143B">
        <w:t>(</w:t>
      </w:r>
      <w:r w:rsidR="004A3B9E">
        <w:t>sous-</w:t>
      </w:r>
      <w:r w:rsidR="0026143B">
        <w:t>)</w:t>
      </w:r>
      <w:r w:rsidR="004A3B9E">
        <w:t>genres disponibles par les femmes qui écrivent.</w:t>
      </w:r>
    </w:p>
    <w:p w:rsidR="00D21AD3" w:rsidRPr="00FD50A8" w:rsidRDefault="004A3B9E" w:rsidP="00D21AD3">
      <w:pPr>
        <w:jc w:val="both"/>
      </w:pPr>
      <w:r>
        <w:t>D</w:t>
      </w:r>
      <w:r w:rsidR="00D21AD3" w:rsidRPr="00FD50A8">
        <w:t xml:space="preserve">’autres </w:t>
      </w:r>
      <w:r w:rsidR="0026143B">
        <w:t>éléments permettent d’</w:t>
      </w:r>
      <w:r w:rsidR="00D21AD3" w:rsidRPr="00FD50A8">
        <w:t>expliqu</w:t>
      </w:r>
      <w:r>
        <w:t>er la prédilection des écrivaines et des écrivain</w:t>
      </w:r>
      <w:r w:rsidR="00D21AD3" w:rsidRPr="00FD50A8">
        <w:t xml:space="preserve">s pour tel ou tel genre littéraire. Des raisons éthiques et didactiques pousseraient </w:t>
      </w:r>
      <w:r w:rsidR="00EC6815">
        <w:t>par exemple</w:t>
      </w:r>
      <w:r w:rsidR="00146F39">
        <w:t xml:space="preserve"> </w:t>
      </w:r>
      <w:r>
        <w:t xml:space="preserve">les femmes </w:t>
      </w:r>
      <w:r w:rsidR="00D21AD3" w:rsidRPr="00FD50A8">
        <w:t xml:space="preserve">à privilégier </w:t>
      </w:r>
      <w:r>
        <w:t>certaines</w:t>
      </w:r>
      <w:r w:rsidR="00146F39">
        <w:t xml:space="preserve"> </w:t>
      </w:r>
      <w:r w:rsidR="00D21AD3" w:rsidRPr="00FD50A8">
        <w:t xml:space="preserve">thématiques. </w:t>
      </w:r>
      <w:r w:rsidR="0026143B">
        <w:t xml:space="preserve">Ainsi, </w:t>
      </w:r>
      <w:r w:rsidR="00D21AD3" w:rsidRPr="00FD50A8">
        <w:t>André Léo justifie</w:t>
      </w:r>
      <w:r w:rsidR="0026143B">
        <w:t>, en tête de son roman,</w:t>
      </w:r>
      <w:r w:rsidR="00D21AD3" w:rsidRPr="00FD50A8">
        <w:t xml:space="preserve"> l’écriture et la publication </w:t>
      </w:r>
      <w:r>
        <w:t xml:space="preserve">de </w:t>
      </w:r>
      <w:r w:rsidR="00D21AD3" w:rsidRPr="00FD50A8">
        <w:rPr>
          <w:i/>
        </w:rPr>
        <w:t>Marianne</w:t>
      </w:r>
      <w:r w:rsidR="00D21AD3" w:rsidRPr="00FD50A8">
        <w:t xml:space="preserve"> (1877)</w:t>
      </w:r>
      <w:r w:rsidR="0026143B">
        <w:t xml:space="preserve"> en ces termes</w:t>
      </w:r>
      <w:r w:rsidR="00D21AD3" w:rsidRPr="00FD50A8">
        <w:t xml:space="preserve"> : « Si </w:t>
      </w:r>
      <w:r w:rsidR="007960D2">
        <w:t>je vous raconte cette histoire</w:t>
      </w:r>
      <w:r w:rsidR="00D21AD3" w:rsidRPr="00FD50A8">
        <w:t xml:space="preserve">, </w:t>
      </w:r>
      <w:r w:rsidR="007960D2">
        <w:t>[…] [</w:t>
      </w:r>
      <w:r w:rsidR="00D21AD3" w:rsidRPr="00FD50A8">
        <w:t>c’est</w:t>
      </w:r>
      <w:r w:rsidR="007960D2">
        <w:t>] parce qu’</w:t>
      </w:r>
      <w:r w:rsidR="00D21AD3" w:rsidRPr="00FD50A8">
        <w:t xml:space="preserve">elle se </w:t>
      </w:r>
      <w:r w:rsidR="007960D2">
        <w:t>recommande particulièrement à l’</w:t>
      </w:r>
      <w:r w:rsidR="00D21AD3" w:rsidRPr="00FD50A8">
        <w:t>attention des lectrices, et surtout de ces lectrices de vingt ans, qui, en lisant un roman, rêvent de leur propre avenir, et auxque</w:t>
      </w:r>
      <w:r w:rsidR="007960D2">
        <w:t>lles l’</w:t>
      </w:r>
      <w:r w:rsidR="00D21AD3" w:rsidRPr="00FD50A8">
        <w:t>auteur ici dédie ses p</w:t>
      </w:r>
      <w:r w:rsidR="007960D2">
        <w:t>ensées les plus intimes, sûr qu’</w:t>
      </w:r>
      <w:r w:rsidR="00D21AD3" w:rsidRPr="00FD50A8">
        <w:t>elles ne seron</w:t>
      </w:r>
      <w:r w:rsidR="007960D2">
        <w:t>t ni dédaignées ni incomprises</w:t>
      </w:r>
      <w:r w:rsidR="00D21AD3" w:rsidRPr="00FD50A8">
        <w:rPr>
          <w:rStyle w:val="FootnoteReference"/>
        </w:rPr>
        <w:footnoteReference w:id="4"/>
      </w:r>
      <w:r w:rsidR="007960D2">
        <w:t> »</w:t>
      </w:r>
      <w:r w:rsidR="00D21AD3" w:rsidRPr="00FD50A8">
        <w:t>.</w:t>
      </w:r>
    </w:p>
    <w:p w:rsidR="00D21AD3" w:rsidRPr="00FD50A8" w:rsidRDefault="00D21AD3" w:rsidP="00D21AD3">
      <w:pPr>
        <w:jc w:val="both"/>
      </w:pPr>
      <w:r w:rsidRPr="00FD50A8">
        <w:t xml:space="preserve">Cette journée d’études entend </w:t>
      </w:r>
      <w:r w:rsidR="004A3B9E">
        <w:t xml:space="preserve">donc interroger le lien entre sexe et (sous-)genres littéraires, </w:t>
      </w:r>
      <w:r w:rsidR="00436CD5">
        <w:t>en privilégiant d</w:t>
      </w:r>
      <w:r w:rsidR="004A3B9E">
        <w:t xml:space="preserve">es </w:t>
      </w:r>
      <w:r w:rsidR="00436CD5">
        <w:t>corpus</w:t>
      </w:r>
      <w:r w:rsidR="004A3B9E">
        <w:t xml:space="preserve"> peu exploités </w:t>
      </w:r>
      <w:r w:rsidR="00436CD5">
        <w:t xml:space="preserve">jusqu’ici. Que nous disent les </w:t>
      </w:r>
      <w:r w:rsidR="007960D2">
        <w:t xml:space="preserve">écrivain.es </w:t>
      </w:r>
      <w:r w:rsidR="00436CD5">
        <w:t>de seconde zone d</w:t>
      </w:r>
      <w:r w:rsidRPr="00FD50A8">
        <w:t>es imaginaires genrés des XIX</w:t>
      </w:r>
      <w:r w:rsidR="007960D2" w:rsidRPr="007960D2">
        <w:rPr>
          <w:vertAlign w:val="superscript"/>
        </w:rPr>
        <w:t>e</w:t>
      </w:r>
      <w:r w:rsidRPr="00FD50A8">
        <w:t xml:space="preserve"> et XX</w:t>
      </w:r>
      <w:r w:rsidR="007960D2" w:rsidRPr="007960D2">
        <w:rPr>
          <w:vertAlign w:val="superscript"/>
        </w:rPr>
        <w:t>e</w:t>
      </w:r>
      <w:r w:rsidRPr="00FD50A8">
        <w:t xml:space="preserve"> siècles ? </w:t>
      </w:r>
      <w:r w:rsidR="00FD50A8">
        <w:t xml:space="preserve">Peut-on analyser au prisme du </w:t>
      </w:r>
      <w:r w:rsidR="00FD50A8" w:rsidRPr="00FD50A8">
        <w:rPr>
          <w:i/>
        </w:rPr>
        <w:t>gender</w:t>
      </w:r>
      <w:r w:rsidR="00FD50A8">
        <w:t xml:space="preserve"> les écoles et les </w:t>
      </w:r>
      <w:r w:rsidRPr="00FD50A8">
        <w:t>mouvements littéraires ? Le renouveau, l’a</w:t>
      </w:r>
      <w:r w:rsidR="004A3B9E">
        <w:t>vant-garde ont-ils un sexe</w:t>
      </w:r>
      <w:r w:rsidR="00FD50A8">
        <w:t xml:space="preserve"> ? La </w:t>
      </w:r>
      <w:r w:rsidRPr="00FD50A8">
        <w:t>traditi</w:t>
      </w:r>
      <w:r w:rsidR="00FD50A8">
        <w:t>on, la filiation littéraire en ont-</w:t>
      </w:r>
      <w:r w:rsidRPr="00FD50A8">
        <w:t>elle</w:t>
      </w:r>
      <w:r w:rsidR="00FD50A8">
        <w:t>s</w:t>
      </w:r>
      <w:r w:rsidRPr="00FD50A8">
        <w:t xml:space="preserve"> un</w:t>
      </w:r>
      <w:r w:rsidR="00FD50A8">
        <w:t xml:space="preserve"> autre</w:t>
      </w:r>
      <w:r w:rsidRPr="00FD50A8">
        <w:t> ? Y a-t-il des p</w:t>
      </w:r>
      <w:r w:rsidR="00EE5DD1">
        <w:t xml:space="preserve">ériodes historiques propices à la </w:t>
      </w:r>
      <w:r w:rsidR="007960D2">
        <w:t>ré</w:t>
      </w:r>
      <w:r w:rsidR="00EE5DD1">
        <w:t xml:space="preserve">partition sexuée </w:t>
      </w:r>
      <w:r w:rsidR="007960D2">
        <w:t>des pratiques littéraires ? Existe-t-il d</w:t>
      </w:r>
      <w:r w:rsidRPr="00FD50A8">
        <w:t>es genres qui se dé-</w:t>
      </w:r>
      <w:r w:rsidR="00EE5DD1">
        <w:t>genrent ou qui changent de genre</w:t>
      </w:r>
      <w:r w:rsidRPr="00FD50A8">
        <w:t> ?</w:t>
      </w:r>
    </w:p>
    <w:p w:rsidR="00D21AD3" w:rsidRPr="00FD50A8" w:rsidRDefault="00D21AD3" w:rsidP="00D21AD3">
      <w:pPr>
        <w:rPr>
          <w:b/>
        </w:rPr>
      </w:pPr>
    </w:p>
    <w:p w:rsidR="00D21AD3" w:rsidRPr="00FD50A8" w:rsidRDefault="00D21AD3" w:rsidP="00D21AD3">
      <w:pPr>
        <w:rPr>
          <w:b/>
        </w:rPr>
      </w:pPr>
      <w:r w:rsidRPr="00FD50A8">
        <w:rPr>
          <w:b/>
        </w:rPr>
        <w:t>Bibliographie</w:t>
      </w:r>
    </w:p>
    <w:p w:rsidR="00D21AD3" w:rsidRPr="00FD50A8" w:rsidRDefault="00D21AD3" w:rsidP="00D21AD3">
      <w:pPr>
        <w:jc w:val="both"/>
      </w:pPr>
      <w:r w:rsidRPr="00FD50A8">
        <w:t xml:space="preserve">Marie Baudry, </w:t>
      </w:r>
      <w:r w:rsidRPr="00FD50A8">
        <w:rPr>
          <w:i/>
        </w:rPr>
        <w:t>Lectrices romanesques. Représentations et théorie de la lecture aux XIX</w:t>
      </w:r>
      <w:r w:rsidR="007960D2" w:rsidRPr="007960D2">
        <w:rPr>
          <w:i/>
          <w:vertAlign w:val="superscript"/>
        </w:rPr>
        <w:t>e</w:t>
      </w:r>
      <w:r w:rsidRPr="00FD50A8">
        <w:rPr>
          <w:i/>
        </w:rPr>
        <w:t xml:space="preserve"> et XX</w:t>
      </w:r>
      <w:r w:rsidR="007960D2" w:rsidRPr="007960D2">
        <w:rPr>
          <w:i/>
          <w:vertAlign w:val="superscript"/>
        </w:rPr>
        <w:t>e</w:t>
      </w:r>
      <w:r w:rsidRPr="00FD50A8">
        <w:rPr>
          <w:i/>
        </w:rPr>
        <w:t xml:space="preserve"> siècles</w:t>
      </w:r>
      <w:r w:rsidRPr="00FD50A8">
        <w:t>, Paris, Classiques Garnier, 2014.</w:t>
      </w:r>
    </w:p>
    <w:p w:rsidR="00D21AD3" w:rsidRPr="00FD50A8" w:rsidRDefault="00D21AD3" w:rsidP="00D21AD3">
      <w:pPr>
        <w:jc w:val="both"/>
        <w:rPr>
          <w:shd w:val="clear" w:color="auto" w:fill="FFFFFF"/>
        </w:rPr>
      </w:pPr>
      <w:r w:rsidRPr="00FD50A8">
        <w:t xml:space="preserve">Chantal Bertrand-Jennings, </w:t>
      </w:r>
      <w:r w:rsidR="007960D2">
        <w:rPr>
          <w:i/>
          <w:shd w:val="clear" w:color="auto" w:fill="FFFFFF"/>
        </w:rPr>
        <w:t>Un a</w:t>
      </w:r>
      <w:r w:rsidRPr="00FD50A8">
        <w:rPr>
          <w:i/>
          <w:shd w:val="clear" w:color="auto" w:fill="FFFFFF"/>
        </w:rPr>
        <w:t>utre mal du siècle. Le romantisme des romancières (1800-1846)</w:t>
      </w:r>
      <w:r w:rsidRPr="00FD50A8">
        <w:rPr>
          <w:shd w:val="clear" w:color="auto" w:fill="FFFFFF"/>
        </w:rPr>
        <w:t>, Toulouse, Presses Universitaires du Mirail, 2005.</w:t>
      </w:r>
    </w:p>
    <w:p w:rsidR="00D21AD3" w:rsidRPr="00FD50A8" w:rsidRDefault="00D21AD3" w:rsidP="00D21AD3">
      <w:pPr>
        <w:jc w:val="both"/>
      </w:pPr>
      <w:r w:rsidRPr="00FD50A8">
        <w:t>Jean-Philippe Beaulieu et Andrea Oberhuber</w:t>
      </w:r>
      <w:r w:rsidR="007960D2">
        <w:t xml:space="preserve"> (dir.)</w:t>
      </w:r>
      <w:r w:rsidRPr="00FD50A8">
        <w:t xml:space="preserve">, </w:t>
      </w:r>
      <w:r w:rsidRPr="00FD50A8">
        <w:rPr>
          <w:i/>
          <w:iCs/>
        </w:rPr>
        <w:t>Jeu de masques. Les femmes et le travestissement textuel (1600-1940)</w:t>
      </w:r>
      <w:r w:rsidRPr="00FD50A8">
        <w:t>, Saint-Étienne, Publications de l’Université de Saint-Étienne, « L’école du genre », 2011.</w:t>
      </w:r>
    </w:p>
    <w:p w:rsidR="00D21AD3" w:rsidRPr="00FD50A8" w:rsidRDefault="00D21AD3" w:rsidP="00D21AD3">
      <w:pPr>
        <w:jc w:val="both"/>
      </w:pPr>
      <w:r w:rsidRPr="00FD50A8">
        <w:t xml:space="preserve">Margaret Cohen, </w:t>
      </w:r>
      <w:r w:rsidRPr="00FD50A8">
        <w:rPr>
          <w:i/>
        </w:rPr>
        <w:t>The Sentimental Education of the Novel</w:t>
      </w:r>
      <w:r w:rsidRPr="00FD50A8">
        <w:t>, Princeton, Princeton University Press, 1999.</w:t>
      </w:r>
    </w:p>
    <w:p w:rsidR="00D21AD3" w:rsidRPr="00FD50A8" w:rsidRDefault="00D21AD3" w:rsidP="00D21AD3">
      <w:pPr>
        <w:jc w:val="both"/>
      </w:pPr>
      <w:r w:rsidRPr="00FD50A8">
        <w:t>Andrea Del Lungo et Brigitte Louichon</w:t>
      </w:r>
      <w:r w:rsidR="007960D2">
        <w:t xml:space="preserve"> (dir.)</w:t>
      </w:r>
      <w:r w:rsidRPr="00FD50A8">
        <w:t xml:space="preserve">, </w:t>
      </w:r>
      <w:r w:rsidR="007960D2">
        <w:rPr>
          <w:i/>
        </w:rPr>
        <w:t>La l</w:t>
      </w:r>
      <w:r w:rsidRPr="00FD50A8">
        <w:rPr>
          <w:i/>
        </w:rPr>
        <w:t>ittérature en bas-bleus</w:t>
      </w:r>
      <w:r w:rsidRPr="00FD50A8">
        <w:t>, Paris, Classiques Garnier,  t.I, II, III, 2010-2017.</w:t>
      </w:r>
    </w:p>
    <w:p w:rsidR="00D21AD3" w:rsidRDefault="00D21AD3" w:rsidP="00D21AD3">
      <w:pPr>
        <w:jc w:val="both"/>
      </w:pPr>
      <w:r w:rsidRPr="00FD50A8">
        <w:t>Catherine Mariette-Clot et Damien Zanone</w:t>
      </w:r>
      <w:r w:rsidR="007960D2">
        <w:t xml:space="preserve"> (dir.)</w:t>
      </w:r>
      <w:r w:rsidRPr="00FD50A8">
        <w:t xml:space="preserve">, </w:t>
      </w:r>
      <w:r w:rsidR="007960D2">
        <w:rPr>
          <w:i/>
        </w:rPr>
        <w:t>La t</w:t>
      </w:r>
      <w:r w:rsidRPr="00FD50A8">
        <w:rPr>
          <w:i/>
        </w:rPr>
        <w:t>radition des romans de femmes, XVIII</w:t>
      </w:r>
      <w:r w:rsidR="007960D2" w:rsidRPr="007960D2">
        <w:rPr>
          <w:i/>
          <w:vertAlign w:val="superscript"/>
        </w:rPr>
        <w:t>e</w:t>
      </w:r>
      <w:r w:rsidRPr="00FD50A8">
        <w:rPr>
          <w:i/>
        </w:rPr>
        <w:t>-XIX</w:t>
      </w:r>
      <w:r w:rsidR="007960D2" w:rsidRPr="007960D2">
        <w:rPr>
          <w:i/>
          <w:vertAlign w:val="superscript"/>
        </w:rPr>
        <w:t>e</w:t>
      </w:r>
      <w:r w:rsidRPr="00FD50A8">
        <w:rPr>
          <w:i/>
        </w:rPr>
        <w:t xml:space="preserve"> siècles</w:t>
      </w:r>
      <w:r w:rsidRPr="00FD50A8">
        <w:t>, Paris, Honoré Champion, 2012.</w:t>
      </w:r>
    </w:p>
    <w:p w:rsidR="00194064" w:rsidRPr="00194064" w:rsidRDefault="00194064" w:rsidP="00D21AD3">
      <w:pPr>
        <w:jc w:val="both"/>
      </w:pPr>
      <w:r>
        <w:rPr>
          <w:iCs/>
        </w:rPr>
        <w:lastRenderedPageBreak/>
        <w:t xml:space="preserve">Rachel Mesch, </w:t>
      </w:r>
      <w:r w:rsidRPr="00194064">
        <w:rPr>
          <w:i/>
          <w:iCs/>
        </w:rPr>
        <w:t>The Hysteric’s Revenge</w:t>
      </w:r>
      <w:r>
        <w:rPr>
          <w:iCs/>
        </w:rPr>
        <w:t xml:space="preserve">. </w:t>
      </w:r>
      <w:r w:rsidRPr="00194064">
        <w:rPr>
          <w:i/>
          <w:iCs/>
        </w:rPr>
        <w:t>French Women Writers at the Fin de Siècle</w:t>
      </w:r>
      <w:r>
        <w:rPr>
          <w:iCs/>
        </w:rPr>
        <w:t>, Nashville, Vanderbilt University Press, 2006.</w:t>
      </w:r>
    </w:p>
    <w:p w:rsidR="00436CD5" w:rsidRDefault="00436CD5" w:rsidP="00D21AD3">
      <w:pPr>
        <w:jc w:val="both"/>
      </w:pPr>
      <w:r>
        <w:t xml:space="preserve">Catherine Nesci, </w:t>
      </w:r>
      <w:r w:rsidRPr="007960D2">
        <w:rPr>
          <w:i/>
        </w:rPr>
        <w:t>Le flâneur et les flâneuses. Les femmes et la ville à l’époque romantique</w:t>
      </w:r>
      <w:r>
        <w:t>, Grenoble, Ellug, « Bibliothèque stendhalienne et romantique », 2007.</w:t>
      </w:r>
    </w:p>
    <w:p w:rsidR="00436CD5" w:rsidRPr="00FD50A8" w:rsidRDefault="00436CD5" w:rsidP="00436CD5">
      <w:pPr>
        <w:jc w:val="both"/>
      </w:pPr>
      <w:r w:rsidRPr="00FD50A8">
        <w:t xml:space="preserve">Andrea Oberhuber, « Postface : </w:t>
      </w:r>
      <w:r w:rsidRPr="00FD50A8">
        <w:rPr>
          <w:i/>
        </w:rPr>
        <w:t>Gender Politics</w:t>
      </w:r>
      <w:r w:rsidRPr="00FD50A8">
        <w:t xml:space="preserve"> et genre de questions littéraires »</w:t>
      </w:r>
      <w:r w:rsidR="007960D2">
        <w:t>,</w:t>
      </w:r>
      <w:r w:rsidRPr="00FD50A8">
        <w:t xml:space="preserve"> dans Patrick Farges, Cécile Chamayou-Kuhn et Perin Emel (dir.), </w:t>
      </w:r>
      <w:r w:rsidRPr="00FD50A8">
        <w:rPr>
          <w:i/>
        </w:rPr>
        <w:t>Le lieu du genre : la narration comme espace performatif du genre</w:t>
      </w:r>
      <w:r w:rsidRPr="00FD50A8">
        <w:t>, Paris, Presses Sorbonne Nouvelle, 2011, p. 197-209.</w:t>
      </w:r>
    </w:p>
    <w:p w:rsidR="00D21AD3" w:rsidRPr="00FD50A8" w:rsidRDefault="00D21AD3" w:rsidP="00D21AD3">
      <w:pPr>
        <w:jc w:val="both"/>
      </w:pPr>
      <w:r w:rsidRPr="00FD50A8">
        <w:t xml:space="preserve">Christine Planté, </w:t>
      </w:r>
      <w:r w:rsidRPr="00FD50A8">
        <w:rPr>
          <w:i/>
        </w:rPr>
        <w:t>L’épistolaire, un genre féminin ?</w:t>
      </w:r>
      <w:r w:rsidRPr="00FD50A8">
        <w:t>, Paris, Honoré Champion, 1998.</w:t>
      </w:r>
    </w:p>
    <w:p w:rsidR="00D21AD3" w:rsidRPr="00FD50A8" w:rsidRDefault="00D21AD3" w:rsidP="00D21AD3">
      <w:pPr>
        <w:jc w:val="both"/>
      </w:pPr>
      <w:r w:rsidRPr="00FD50A8">
        <w:t>Christine Planté et Damien Zanone</w:t>
      </w:r>
      <w:r w:rsidR="007960D2">
        <w:t xml:space="preserve"> (dir.)</w:t>
      </w:r>
      <w:r w:rsidRPr="00FD50A8">
        <w:t xml:space="preserve">, </w:t>
      </w:r>
      <w:r w:rsidR="007960D2">
        <w:t>« </w:t>
      </w:r>
      <w:r w:rsidRPr="007960D2">
        <w:t>Littérature et arts au XIX</w:t>
      </w:r>
      <w:r w:rsidRPr="007960D2">
        <w:rPr>
          <w:vertAlign w:val="superscript"/>
        </w:rPr>
        <w:t>e</w:t>
      </w:r>
      <w:r w:rsidRPr="007960D2">
        <w:t> siècle : questions de </w:t>
      </w:r>
      <w:r w:rsidRPr="007960D2">
        <w:rPr>
          <w:i/>
          <w:iCs/>
        </w:rPr>
        <w:t>genre</w:t>
      </w:r>
      <w:r w:rsidR="007960D2">
        <w:rPr>
          <w:iCs/>
        </w:rPr>
        <w:t> »</w:t>
      </w:r>
      <w:r w:rsidRPr="00FD50A8">
        <w:t xml:space="preserve">, </w:t>
      </w:r>
      <w:r w:rsidRPr="00FD50A8">
        <w:rPr>
          <w:i/>
          <w:iCs/>
        </w:rPr>
        <w:t>Romantisme</w:t>
      </w:r>
      <w:r w:rsidRPr="00FD50A8">
        <w:t>, n° 179, 2018.</w:t>
      </w:r>
    </w:p>
    <w:p w:rsidR="00FE1C3C" w:rsidRPr="00FD50A8" w:rsidRDefault="00D21AD3" w:rsidP="00D21AD3">
      <w:pPr>
        <w:jc w:val="both"/>
      </w:pPr>
      <w:r w:rsidRPr="00FD50A8">
        <w:t xml:space="preserve">Christine Planté, </w:t>
      </w:r>
      <w:r w:rsidR="007960D2">
        <w:rPr>
          <w:i/>
        </w:rPr>
        <w:t>La p</w:t>
      </w:r>
      <w:r w:rsidRPr="00FD50A8">
        <w:rPr>
          <w:i/>
        </w:rPr>
        <w:t>etite sœur de Balzac. Essai sur la femme auteur au XIX</w:t>
      </w:r>
      <w:r w:rsidR="007960D2" w:rsidRPr="007960D2">
        <w:rPr>
          <w:i/>
          <w:vertAlign w:val="superscript"/>
        </w:rPr>
        <w:t>e</w:t>
      </w:r>
      <w:r w:rsidRPr="00FD50A8">
        <w:rPr>
          <w:i/>
        </w:rPr>
        <w:t xml:space="preserve"> siècle</w:t>
      </w:r>
      <w:r w:rsidRPr="00FD50A8">
        <w:t xml:space="preserve">, Paris, Seuil, </w:t>
      </w:r>
      <w:r w:rsidR="00FE1C3C">
        <w:t xml:space="preserve">1989 ; </w:t>
      </w:r>
      <w:r w:rsidR="00FE1C3C" w:rsidRPr="00FE1C3C">
        <w:t>Lyon,</w:t>
      </w:r>
      <w:r w:rsidR="00FE1C3C">
        <w:t xml:space="preserve"> Presses universitaires de Lyon, </w:t>
      </w:r>
      <w:r w:rsidR="00FE1C3C" w:rsidRPr="00FE1C3C">
        <w:t>2015</w:t>
      </w:r>
      <w:r w:rsidR="00FE1C3C">
        <w:t>.</w:t>
      </w:r>
    </w:p>
    <w:p w:rsidR="00D21AD3" w:rsidRPr="00FD50A8" w:rsidRDefault="00D21AD3" w:rsidP="00D21AD3">
      <w:pPr>
        <w:jc w:val="both"/>
      </w:pPr>
      <w:r w:rsidRPr="00FD50A8">
        <w:t xml:space="preserve">Martine Reid, </w:t>
      </w:r>
      <w:r w:rsidR="007960D2">
        <w:rPr>
          <w:i/>
        </w:rPr>
        <w:t>Des f</w:t>
      </w:r>
      <w:r w:rsidR="00436CD5" w:rsidRPr="00436CD5">
        <w:rPr>
          <w:i/>
        </w:rPr>
        <w:t>emmes en littérature</w:t>
      </w:r>
      <w:r w:rsidR="00436CD5">
        <w:t>, Paris, Belin, 2010.</w:t>
      </w:r>
    </w:p>
    <w:p w:rsidR="00FD50A8" w:rsidRDefault="00FD50A8"/>
    <w:p w:rsidR="00EE5DD1" w:rsidRPr="00FE1C3C" w:rsidRDefault="00EE5DD1" w:rsidP="00320AA7">
      <w:pPr>
        <w:jc w:val="both"/>
      </w:pPr>
      <w:r w:rsidRPr="00FE1C3C">
        <w:t>Les</w:t>
      </w:r>
      <w:r w:rsidRPr="00320AA7">
        <w:rPr>
          <w:b/>
        </w:rPr>
        <w:t xml:space="preserve"> </w:t>
      </w:r>
      <w:r w:rsidRPr="00BB36D5">
        <w:rPr>
          <w:b/>
        </w:rPr>
        <w:t>propositions de communication</w:t>
      </w:r>
      <w:r w:rsidRPr="00FE1C3C">
        <w:t xml:space="preserve"> (</w:t>
      </w:r>
      <w:r w:rsidR="00FE1C3C" w:rsidRPr="00FE1C3C">
        <w:t>250 à 300 mots</w:t>
      </w:r>
      <w:r w:rsidRPr="00FE1C3C">
        <w:t>)</w:t>
      </w:r>
      <w:r w:rsidRPr="00320AA7">
        <w:rPr>
          <w:b/>
        </w:rPr>
        <w:t xml:space="preserve"> </w:t>
      </w:r>
      <w:r w:rsidRPr="00FE1C3C">
        <w:t>sont à envoyer</w:t>
      </w:r>
      <w:r w:rsidR="00FE1C3C" w:rsidRPr="00FE1C3C">
        <w:t xml:space="preserve"> avec une courte présentation bio-bibliographique </w:t>
      </w:r>
      <w:r w:rsidRPr="00FE1C3C">
        <w:t>pour le</w:t>
      </w:r>
      <w:r w:rsidRPr="00320AA7">
        <w:rPr>
          <w:b/>
        </w:rPr>
        <w:t xml:space="preserve"> </w:t>
      </w:r>
      <w:r w:rsidR="00B0674F">
        <w:rPr>
          <w:b/>
        </w:rPr>
        <w:t xml:space="preserve">15 janvier </w:t>
      </w:r>
      <w:r w:rsidR="00FE1C3C">
        <w:rPr>
          <w:b/>
        </w:rPr>
        <w:t xml:space="preserve">2018 </w:t>
      </w:r>
      <w:r w:rsidR="00FE1C3C" w:rsidRPr="00FE1C3C">
        <w:t>aux deux adresses suivantes :</w:t>
      </w:r>
      <w:r>
        <w:rPr>
          <w:b/>
        </w:rPr>
        <w:t xml:space="preserve"> </w:t>
      </w:r>
      <w:hyperlink r:id="rId8" w:history="1">
        <w:r w:rsidR="00320AA7" w:rsidRPr="00FE1C3C">
          <w:rPr>
            <w:rStyle w:val="Hyperlink"/>
          </w:rPr>
          <w:t>laetitia.hanin@umontreal.ca</w:t>
        </w:r>
      </w:hyperlink>
      <w:r w:rsidR="00320AA7" w:rsidRPr="00FE1C3C">
        <w:t xml:space="preserve"> et </w:t>
      </w:r>
      <w:hyperlink r:id="rId9" w:history="1">
        <w:r w:rsidR="00320AA7" w:rsidRPr="00FE1C3C">
          <w:rPr>
            <w:rStyle w:val="Hyperlink"/>
          </w:rPr>
          <w:t>andrea.oberhuber@umontreal.ca</w:t>
        </w:r>
      </w:hyperlink>
      <w:r w:rsidR="00320AA7" w:rsidRPr="00FE1C3C">
        <w:t xml:space="preserve"> </w:t>
      </w:r>
    </w:p>
    <w:p w:rsidR="002D17B2" w:rsidRPr="00FE1C3C" w:rsidRDefault="00EE5DD1" w:rsidP="00320AA7">
      <w:pPr>
        <w:jc w:val="both"/>
      </w:pPr>
      <w:r w:rsidRPr="00BB36D5">
        <w:t>Contact :</w:t>
      </w:r>
      <w:r w:rsidR="000A6ED0" w:rsidRPr="00FE1C3C">
        <w:t xml:space="preserve"> </w:t>
      </w:r>
      <w:r w:rsidR="00FD50A8" w:rsidRPr="00FE1C3C">
        <w:t xml:space="preserve">Laetitia Hanin </w:t>
      </w:r>
      <w:r w:rsidR="00320AA7" w:rsidRPr="00FE1C3C">
        <w:t>(</w:t>
      </w:r>
      <w:hyperlink r:id="rId10" w:history="1">
        <w:r w:rsidR="00320AA7" w:rsidRPr="00FE1C3C">
          <w:rPr>
            <w:rStyle w:val="Hyperlink"/>
          </w:rPr>
          <w:t>laetitia.hanin@umontreal.ca</w:t>
        </w:r>
      </w:hyperlink>
      <w:r w:rsidR="00320AA7" w:rsidRPr="00FE1C3C">
        <w:t xml:space="preserve">) </w:t>
      </w:r>
    </w:p>
    <w:p w:rsidR="002D17B2" w:rsidRPr="002D17B2" w:rsidRDefault="002D17B2" w:rsidP="002D17B2">
      <w:bookmarkStart w:id="0" w:name="_GoBack"/>
      <w:bookmarkEnd w:id="0"/>
    </w:p>
    <w:p w:rsidR="002D17B2" w:rsidRDefault="002D17B2" w:rsidP="002D17B2"/>
    <w:p w:rsidR="00980062" w:rsidRPr="002D17B2" w:rsidRDefault="008D205F" w:rsidP="002D17B2"/>
    <w:sectPr w:rsidR="00980062" w:rsidRPr="002D17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640" w:rsidRDefault="00510640" w:rsidP="00D21AD3">
      <w:pPr>
        <w:spacing w:after="0" w:line="240" w:lineRule="auto"/>
      </w:pPr>
      <w:r>
        <w:separator/>
      </w:r>
    </w:p>
  </w:endnote>
  <w:endnote w:type="continuationSeparator" w:id="0">
    <w:p w:rsidR="00510640" w:rsidRDefault="00510640" w:rsidP="00D2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640" w:rsidRDefault="00510640" w:rsidP="00D21AD3">
      <w:pPr>
        <w:spacing w:after="0" w:line="240" w:lineRule="auto"/>
      </w:pPr>
      <w:r>
        <w:separator/>
      </w:r>
    </w:p>
  </w:footnote>
  <w:footnote w:type="continuationSeparator" w:id="0">
    <w:p w:rsidR="00510640" w:rsidRDefault="00510640" w:rsidP="00D21AD3">
      <w:pPr>
        <w:spacing w:after="0" w:line="240" w:lineRule="auto"/>
      </w:pPr>
      <w:r>
        <w:continuationSeparator/>
      </w:r>
    </w:p>
  </w:footnote>
  <w:footnote w:id="1">
    <w:p w:rsidR="00950361" w:rsidRDefault="00950361" w:rsidP="00950361">
      <w:pPr>
        <w:pStyle w:val="FootnoteText"/>
      </w:pPr>
      <w:r>
        <w:rPr>
          <w:rStyle w:val="FootnoteReference"/>
        </w:rPr>
        <w:footnoteRef/>
      </w:r>
      <w:r>
        <w:t xml:space="preserve"> </w:t>
      </w:r>
      <w:r w:rsidRPr="004B238F">
        <w:t>Eugène de Mireco</w:t>
      </w:r>
      <w:r w:rsidR="000A6ED0">
        <w:t xml:space="preserve">urt, « Madame Clémence Robert », dans </w:t>
      </w:r>
      <w:r w:rsidR="00FE1C3C">
        <w:rPr>
          <w:i/>
        </w:rPr>
        <w:t>Les c</w:t>
      </w:r>
      <w:r w:rsidR="000A6ED0" w:rsidRPr="000A6ED0">
        <w:rPr>
          <w:i/>
        </w:rPr>
        <w:t>ontemporains</w:t>
      </w:r>
      <w:r w:rsidR="000A6ED0">
        <w:t>, Paris, Gustave Havard, 1856, p. 54-55.</w:t>
      </w:r>
    </w:p>
  </w:footnote>
  <w:footnote w:id="2">
    <w:p w:rsidR="00D21AD3" w:rsidRPr="00FD50A8" w:rsidRDefault="00D21AD3">
      <w:pPr>
        <w:pStyle w:val="FootnoteText"/>
      </w:pPr>
      <w:r w:rsidRPr="00FD50A8">
        <w:rPr>
          <w:rStyle w:val="FootnoteReference"/>
        </w:rPr>
        <w:footnoteRef/>
      </w:r>
      <w:r w:rsidRPr="00FD50A8">
        <w:t xml:space="preserve"> </w:t>
      </w:r>
      <w:r w:rsidRPr="00FD50A8">
        <w:t xml:space="preserve">Christine Planté, </w:t>
      </w:r>
      <w:r w:rsidR="00FE1C3C">
        <w:rPr>
          <w:i/>
        </w:rPr>
        <w:t>La p</w:t>
      </w:r>
      <w:r w:rsidRPr="00FD50A8">
        <w:rPr>
          <w:i/>
        </w:rPr>
        <w:t>etite sœur de Balzac. Essai sur la femme auteur au XIXe siècle</w:t>
      </w:r>
      <w:r w:rsidR="00FD50A8" w:rsidRPr="00FD50A8">
        <w:t>, Paris, Seuil, 1989.</w:t>
      </w:r>
    </w:p>
  </w:footnote>
  <w:footnote w:id="3">
    <w:p w:rsidR="00D21AD3" w:rsidRPr="00FD50A8" w:rsidRDefault="00D21AD3" w:rsidP="00D21AD3">
      <w:pPr>
        <w:pStyle w:val="FootnoteText"/>
      </w:pPr>
      <w:r w:rsidRPr="00FD50A8">
        <w:rPr>
          <w:rStyle w:val="FootnoteReference"/>
        </w:rPr>
        <w:footnoteRef/>
      </w:r>
      <w:r w:rsidRPr="00FD50A8">
        <w:t xml:space="preserve"> </w:t>
      </w:r>
      <w:r w:rsidRPr="00FD50A8">
        <w:t xml:space="preserve">Virginie Ancelot, </w:t>
      </w:r>
      <w:r w:rsidR="007960D2">
        <w:rPr>
          <w:i/>
          <w:iCs/>
        </w:rPr>
        <w:t>Une f</w:t>
      </w:r>
      <w:r w:rsidRPr="00FD50A8">
        <w:rPr>
          <w:i/>
          <w:iCs/>
        </w:rPr>
        <w:t>amille parisienne au XIX</w:t>
      </w:r>
      <w:r w:rsidR="007960D2" w:rsidRPr="007960D2">
        <w:rPr>
          <w:i/>
          <w:iCs/>
          <w:vertAlign w:val="superscript"/>
        </w:rPr>
        <w:t>e</w:t>
      </w:r>
      <w:r w:rsidRPr="00FD50A8">
        <w:rPr>
          <w:i/>
          <w:iCs/>
        </w:rPr>
        <w:t xml:space="preserve"> siècle</w:t>
      </w:r>
      <w:r w:rsidRPr="00FD50A8">
        <w:t xml:space="preserve">, Paris, Cadot, 1857, p. 94.  </w:t>
      </w:r>
    </w:p>
  </w:footnote>
  <w:footnote w:id="4">
    <w:p w:rsidR="00D21AD3" w:rsidRPr="00FD50A8" w:rsidRDefault="00D21AD3" w:rsidP="00D21AD3">
      <w:pPr>
        <w:pStyle w:val="FootnoteText"/>
      </w:pPr>
      <w:r w:rsidRPr="00FD50A8">
        <w:rPr>
          <w:rStyle w:val="FootnoteReference"/>
        </w:rPr>
        <w:footnoteRef/>
      </w:r>
      <w:r w:rsidRPr="00FD50A8">
        <w:t xml:space="preserve"> </w:t>
      </w:r>
      <w:r w:rsidRPr="00FD50A8">
        <w:rPr>
          <w:i/>
        </w:rPr>
        <w:t>Ibid.</w:t>
      </w:r>
      <w:r w:rsidRPr="00FD50A8">
        <w:t>, p. 155.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D3"/>
    <w:rsid w:val="000834E8"/>
    <w:rsid w:val="000A6ED0"/>
    <w:rsid w:val="001273CC"/>
    <w:rsid w:val="00146F39"/>
    <w:rsid w:val="00185CBC"/>
    <w:rsid w:val="00194064"/>
    <w:rsid w:val="0026143B"/>
    <w:rsid w:val="0029654D"/>
    <w:rsid w:val="00297184"/>
    <w:rsid w:val="002B6E63"/>
    <w:rsid w:val="002D17B2"/>
    <w:rsid w:val="00320AA7"/>
    <w:rsid w:val="0042473A"/>
    <w:rsid w:val="00427586"/>
    <w:rsid w:val="00436CD5"/>
    <w:rsid w:val="00477006"/>
    <w:rsid w:val="004A3B9E"/>
    <w:rsid w:val="004B238F"/>
    <w:rsid w:val="004D4B52"/>
    <w:rsid w:val="00510640"/>
    <w:rsid w:val="005A2B60"/>
    <w:rsid w:val="0061439B"/>
    <w:rsid w:val="00662D60"/>
    <w:rsid w:val="006F02B9"/>
    <w:rsid w:val="00777F8A"/>
    <w:rsid w:val="007960D2"/>
    <w:rsid w:val="008D205F"/>
    <w:rsid w:val="00922263"/>
    <w:rsid w:val="00950361"/>
    <w:rsid w:val="009C2F96"/>
    <w:rsid w:val="00B0674F"/>
    <w:rsid w:val="00BB36D5"/>
    <w:rsid w:val="00BB63BE"/>
    <w:rsid w:val="00BD3AB0"/>
    <w:rsid w:val="00BE3C3C"/>
    <w:rsid w:val="00D21AD3"/>
    <w:rsid w:val="00D64D4E"/>
    <w:rsid w:val="00E741A0"/>
    <w:rsid w:val="00EC6815"/>
    <w:rsid w:val="00ED2EB5"/>
    <w:rsid w:val="00EE5151"/>
    <w:rsid w:val="00EE5DD1"/>
    <w:rsid w:val="00FD50A8"/>
    <w:rsid w:val="00FE1C3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1A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AD3"/>
    <w:rPr>
      <w:sz w:val="20"/>
      <w:szCs w:val="20"/>
    </w:rPr>
  </w:style>
  <w:style w:type="character" w:styleId="FootnoteReference">
    <w:name w:val="footnote reference"/>
    <w:basedOn w:val="DefaultParagraphFont"/>
    <w:uiPriority w:val="99"/>
    <w:semiHidden/>
    <w:unhideWhenUsed/>
    <w:rsid w:val="00D21AD3"/>
    <w:rPr>
      <w:vertAlign w:val="superscript"/>
    </w:rPr>
  </w:style>
  <w:style w:type="character" w:styleId="Hyperlink">
    <w:name w:val="Hyperlink"/>
    <w:basedOn w:val="DefaultParagraphFont"/>
    <w:uiPriority w:val="99"/>
    <w:unhideWhenUsed/>
    <w:rsid w:val="00320AA7"/>
    <w:rPr>
      <w:color w:val="0000FF" w:themeColor="hyperlink"/>
      <w:u w:val="single"/>
    </w:rPr>
  </w:style>
  <w:style w:type="paragraph" w:styleId="Header">
    <w:name w:val="header"/>
    <w:basedOn w:val="Normal"/>
    <w:link w:val="HeaderChar"/>
    <w:uiPriority w:val="99"/>
    <w:unhideWhenUsed/>
    <w:rsid w:val="00BB3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36D5"/>
  </w:style>
  <w:style w:type="paragraph" w:styleId="Footer">
    <w:name w:val="footer"/>
    <w:basedOn w:val="Normal"/>
    <w:link w:val="FooterChar"/>
    <w:uiPriority w:val="99"/>
    <w:unhideWhenUsed/>
    <w:rsid w:val="00BB36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36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1A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AD3"/>
    <w:rPr>
      <w:sz w:val="20"/>
      <w:szCs w:val="20"/>
    </w:rPr>
  </w:style>
  <w:style w:type="character" w:styleId="FootnoteReference">
    <w:name w:val="footnote reference"/>
    <w:basedOn w:val="DefaultParagraphFont"/>
    <w:uiPriority w:val="99"/>
    <w:semiHidden/>
    <w:unhideWhenUsed/>
    <w:rsid w:val="00D21AD3"/>
    <w:rPr>
      <w:vertAlign w:val="superscript"/>
    </w:rPr>
  </w:style>
  <w:style w:type="character" w:styleId="Hyperlink">
    <w:name w:val="Hyperlink"/>
    <w:basedOn w:val="DefaultParagraphFont"/>
    <w:uiPriority w:val="99"/>
    <w:unhideWhenUsed/>
    <w:rsid w:val="00320AA7"/>
    <w:rPr>
      <w:color w:val="0000FF" w:themeColor="hyperlink"/>
      <w:u w:val="single"/>
    </w:rPr>
  </w:style>
  <w:style w:type="paragraph" w:styleId="Header">
    <w:name w:val="header"/>
    <w:basedOn w:val="Normal"/>
    <w:link w:val="HeaderChar"/>
    <w:uiPriority w:val="99"/>
    <w:unhideWhenUsed/>
    <w:rsid w:val="00BB3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36D5"/>
  </w:style>
  <w:style w:type="paragraph" w:styleId="Footer">
    <w:name w:val="footer"/>
    <w:basedOn w:val="Normal"/>
    <w:link w:val="FooterChar"/>
    <w:uiPriority w:val="99"/>
    <w:unhideWhenUsed/>
    <w:rsid w:val="00BB36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4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aetitia.hanin@umontreal.ca" TargetMode="External"/><Relationship Id="rId9" Type="http://schemas.openxmlformats.org/officeDocument/2006/relationships/hyperlink" Target="mailto:andrea.oberhuber@umontreal.ca" TargetMode="External"/><Relationship Id="rId10" Type="http://schemas.openxmlformats.org/officeDocument/2006/relationships/hyperlink" Target="mailto:laetitia.hanin@umontreal.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E527FA9-C714-D74A-81C1-F50EF921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6174</Characters>
  <Application>Microsoft Macintosh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SIWS</dc:creator>
  <cp:lastModifiedBy>Sophie</cp:lastModifiedBy>
  <cp:revision>2</cp:revision>
  <dcterms:created xsi:type="dcterms:W3CDTF">2018-12-21T12:49:00Z</dcterms:created>
  <dcterms:modified xsi:type="dcterms:W3CDTF">2018-12-21T12:49:00Z</dcterms:modified>
</cp:coreProperties>
</file>